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F3" w:rsidRDefault="00964AF3" w:rsidP="00CE34C8">
      <w:pPr>
        <w:jc w:val="center"/>
        <w:rPr>
          <w:rFonts w:ascii="仿宋" w:eastAsia="仿宋" w:hAnsi="仿宋" w:cs="Times New Roman" w:hint="eastAsia"/>
          <w:sz w:val="44"/>
          <w:szCs w:val="44"/>
        </w:rPr>
      </w:pPr>
    </w:p>
    <w:p w:rsidR="004C1C29" w:rsidRDefault="004C1C29" w:rsidP="00964AF3">
      <w:pPr>
        <w:jc w:val="center"/>
        <w:rPr>
          <w:rFonts w:ascii="华文中宋" w:eastAsia="华文中宋" w:hAnsi="华文中宋"/>
          <w:sz w:val="44"/>
          <w:szCs w:val="44"/>
        </w:rPr>
      </w:pPr>
    </w:p>
    <w:p w:rsidR="004C1C29" w:rsidRDefault="004C1C29" w:rsidP="00964AF3">
      <w:pPr>
        <w:jc w:val="center"/>
        <w:rPr>
          <w:rFonts w:ascii="华文中宋" w:eastAsia="华文中宋" w:hAnsi="华文中宋"/>
          <w:sz w:val="44"/>
          <w:szCs w:val="44"/>
        </w:rPr>
      </w:pPr>
    </w:p>
    <w:p w:rsidR="00964AF3" w:rsidRPr="004C1C29" w:rsidRDefault="00150250" w:rsidP="00964AF3">
      <w:pPr>
        <w:jc w:val="center"/>
        <w:rPr>
          <w:rFonts w:ascii="华文中宋" w:eastAsia="华文中宋" w:hAnsi="华文中宋"/>
          <w:sz w:val="44"/>
          <w:szCs w:val="44"/>
        </w:rPr>
      </w:pPr>
      <w:r w:rsidRPr="00150250">
        <w:rPr>
          <w:rFonts w:ascii="华文中宋" w:eastAsia="华文中宋" w:hAnsi="华文中宋" w:hint="eastAsia"/>
          <w:sz w:val="44"/>
          <w:szCs w:val="44"/>
        </w:rPr>
        <w:t>中国政法大学201</w:t>
      </w:r>
      <w:r>
        <w:rPr>
          <w:rFonts w:ascii="华文中宋" w:eastAsia="华文中宋" w:hAnsi="华文中宋" w:hint="eastAsia"/>
          <w:sz w:val="44"/>
          <w:szCs w:val="44"/>
        </w:rPr>
        <w:t>6</w:t>
      </w:r>
      <w:r w:rsidRPr="00150250">
        <w:rPr>
          <w:rFonts w:ascii="华文中宋" w:eastAsia="华文中宋" w:hAnsi="华文中宋" w:hint="eastAsia"/>
          <w:sz w:val="44"/>
          <w:szCs w:val="44"/>
        </w:rPr>
        <w:t>年度部门决算</w:t>
      </w: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4C1C29" w:rsidRDefault="004C1C29" w:rsidP="00964AF3">
      <w:pPr>
        <w:jc w:val="center"/>
        <w:rPr>
          <w:rFonts w:ascii="黑体" w:eastAsia="黑体" w:hAnsi="黑体"/>
          <w:sz w:val="32"/>
          <w:szCs w:val="32"/>
        </w:rPr>
      </w:pPr>
    </w:p>
    <w:p w:rsidR="006E6BC3" w:rsidRDefault="006E6BC3" w:rsidP="00964AF3">
      <w:pPr>
        <w:jc w:val="center"/>
        <w:rPr>
          <w:rFonts w:ascii="黑体" w:eastAsia="黑体" w:hAnsi="黑体"/>
          <w:sz w:val="32"/>
          <w:szCs w:val="32"/>
        </w:rPr>
      </w:pPr>
    </w:p>
    <w:p w:rsidR="006E6BC3" w:rsidRPr="004C1C29" w:rsidRDefault="006E6BC3" w:rsidP="00964AF3">
      <w:pPr>
        <w:jc w:val="center"/>
        <w:rPr>
          <w:rFonts w:ascii="黑体" w:eastAsia="黑体" w:hAnsi="黑体"/>
          <w:sz w:val="32"/>
          <w:szCs w:val="32"/>
        </w:rPr>
      </w:pPr>
    </w:p>
    <w:p w:rsidR="00964AF3" w:rsidRPr="00964AF3" w:rsidRDefault="00964AF3" w:rsidP="00964AF3">
      <w:pPr>
        <w:jc w:val="center"/>
        <w:rPr>
          <w:rFonts w:ascii="黑体" w:eastAsia="黑体" w:hAnsi="黑体"/>
          <w:sz w:val="32"/>
          <w:szCs w:val="32"/>
        </w:rPr>
      </w:pPr>
    </w:p>
    <w:p w:rsidR="00964AF3" w:rsidRPr="004C1C29" w:rsidRDefault="00150250" w:rsidP="004C1C29">
      <w:pPr>
        <w:jc w:val="center"/>
        <w:rPr>
          <w:rFonts w:ascii="华文中宋" w:eastAsia="华文中宋" w:hAnsi="华文中宋"/>
          <w:sz w:val="32"/>
          <w:szCs w:val="32"/>
        </w:rPr>
      </w:pPr>
      <w:r>
        <w:rPr>
          <w:rFonts w:ascii="华文中宋" w:eastAsia="华文中宋" w:hAnsi="华文中宋" w:cs="华文中宋"/>
          <w:sz w:val="32"/>
          <w:szCs w:val="32"/>
        </w:rPr>
        <w:t>201</w:t>
      </w:r>
      <w:r>
        <w:rPr>
          <w:rFonts w:ascii="华文中宋" w:eastAsia="华文中宋" w:hAnsi="华文中宋" w:cs="华文中宋" w:hint="eastAsia"/>
          <w:sz w:val="32"/>
          <w:szCs w:val="32"/>
        </w:rPr>
        <w:t>7年</w:t>
      </w:r>
      <w:r>
        <w:rPr>
          <w:rFonts w:ascii="华文中宋" w:eastAsia="华文中宋" w:hAnsi="华文中宋" w:cs="华文中宋"/>
          <w:sz w:val="32"/>
          <w:szCs w:val="32"/>
        </w:rPr>
        <w:t>8</w:t>
      </w:r>
      <w:r w:rsidRPr="004C1C29">
        <w:rPr>
          <w:rFonts w:ascii="华文中宋" w:eastAsia="华文中宋" w:hAnsi="华文中宋" w:cs="华文中宋" w:hint="eastAsia"/>
          <w:sz w:val="32"/>
          <w:szCs w:val="32"/>
        </w:rPr>
        <w:t>月</w:t>
      </w: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964AF3" w:rsidRDefault="00964AF3" w:rsidP="00964AF3">
      <w:pPr>
        <w:jc w:val="center"/>
        <w:rPr>
          <w:rFonts w:ascii="黑体" w:eastAsia="黑体" w:hAnsi="黑体"/>
          <w:sz w:val="32"/>
          <w:szCs w:val="32"/>
        </w:rPr>
      </w:pPr>
    </w:p>
    <w:p w:rsidR="00701A1E" w:rsidRDefault="00701A1E" w:rsidP="00964AF3">
      <w:pPr>
        <w:jc w:val="center"/>
        <w:rPr>
          <w:rFonts w:ascii="华文中宋" w:eastAsia="华文中宋" w:hAnsi="华文中宋"/>
          <w:sz w:val="36"/>
          <w:szCs w:val="36"/>
        </w:rPr>
        <w:sectPr w:rsidR="00701A1E" w:rsidSect="00B534AD">
          <w:footerReference w:type="default" r:id="rId9"/>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890497274"/>
        <w:docPartObj>
          <w:docPartGallery w:val="Table of Contents"/>
          <w:docPartUnique/>
        </w:docPartObj>
      </w:sdtPr>
      <w:sdtEndPr/>
      <w:sdtContent>
        <w:p w:rsidR="000E7B3E" w:rsidRPr="004F7D60" w:rsidRDefault="000E7B3E" w:rsidP="002001E5">
          <w:pPr>
            <w:pStyle w:val="TOC"/>
            <w:tabs>
              <w:tab w:val="left" w:pos="3215"/>
              <w:tab w:val="center" w:pos="4153"/>
            </w:tabs>
            <w:spacing w:line="600" w:lineRule="auto"/>
            <w:rPr>
              <w:color w:val="auto"/>
              <w:sz w:val="44"/>
              <w:szCs w:val="44"/>
            </w:rPr>
          </w:pPr>
          <w:r>
            <w:rPr>
              <w:lang w:val="zh-CN"/>
            </w:rPr>
            <w:tab/>
          </w:r>
          <w:r w:rsidRPr="004F7D60">
            <w:rPr>
              <w:sz w:val="44"/>
              <w:szCs w:val="44"/>
              <w:lang w:val="zh-CN"/>
            </w:rPr>
            <w:tab/>
          </w:r>
          <w:r w:rsidRPr="004F7D60">
            <w:rPr>
              <w:color w:val="auto"/>
              <w:sz w:val="44"/>
              <w:szCs w:val="44"/>
              <w:lang w:val="zh-CN"/>
            </w:rPr>
            <w:t>目</w:t>
          </w:r>
          <w:r>
            <w:rPr>
              <w:rFonts w:hint="eastAsia"/>
              <w:color w:val="auto"/>
              <w:sz w:val="44"/>
              <w:szCs w:val="44"/>
              <w:lang w:val="zh-CN"/>
            </w:rPr>
            <w:t xml:space="preserve"> </w:t>
          </w:r>
          <w:r w:rsidRPr="004F7D60">
            <w:rPr>
              <w:color w:val="auto"/>
              <w:sz w:val="44"/>
              <w:szCs w:val="44"/>
              <w:lang w:val="zh-CN"/>
            </w:rPr>
            <w:t>录</w:t>
          </w:r>
        </w:p>
        <w:p w:rsidR="000E7B3E" w:rsidRPr="004F7D60" w:rsidRDefault="000E7B3E" w:rsidP="00844DAB">
          <w:pPr>
            <w:pStyle w:val="10"/>
            <w:spacing w:line="600" w:lineRule="auto"/>
          </w:pPr>
        </w:p>
        <w:p w:rsidR="004729BF" w:rsidRDefault="001B2DDF">
          <w:pPr>
            <w:pStyle w:val="10"/>
            <w:rPr>
              <w:rFonts w:asciiTheme="minorHAnsi" w:eastAsiaTheme="minorEastAsia" w:hAnsiTheme="minorHAnsi"/>
              <w:sz w:val="21"/>
              <w:szCs w:val="22"/>
            </w:rPr>
          </w:pPr>
          <w:r w:rsidRPr="004F7D60">
            <w:fldChar w:fldCharType="begin"/>
          </w:r>
          <w:r w:rsidR="000E7B3E" w:rsidRPr="004F7D60">
            <w:instrText xml:space="preserve"> TOC \o "1-3" \h \z \u </w:instrText>
          </w:r>
          <w:r w:rsidRPr="004F7D60">
            <w:fldChar w:fldCharType="separate"/>
          </w:r>
          <w:hyperlink w:anchor="_Toc488246745" w:history="1">
            <w:r w:rsidR="004729BF" w:rsidRPr="00264CAE">
              <w:rPr>
                <w:rStyle w:val="a7"/>
                <w:rFonts w:ascii="Times New Roman" w:cs="Times New Roman" w:hint="eastAsia"/>
              </w:rPr>
              <w:t>一、学校概况</w:t>
            </w:r>
            <w:r w:rsidR="004729BF">
              <w:rPr>
                <w:webHidden/>
              </w:rPr>
              <w:tab/>
            </w:r>
            <w:r w:rsidR="004729BF">
              <w:rPr>
                <w:webHidden/>
              </w:rPr>
              <w:fldChar w:fldCharType="begin"/>
            </w:r>
            <w:r w:rsidR="004729BF">
              <w:rPr>
                <w:webHidden/>
              </w:rPr>
              <w:instrText xml:space="preserve"> PAGEREF _Toc488246745 \h </w:instrText>
            </w:r>
            <w:r w:rsidR="004729BF">
              <w:rPr>
                <w:webHidden/>
              </w:rPr>
            </w:r>
            <w:r w:rsidR="004729BF">
              <w:rPr>
                <w:webHidden/>
              </w:rPr>
              <w:fldChar w:fldCharType="separate"/>
            </w:r>
            <w:r w:rsidR="0087446F">
              <w:rPr>
                <w:webHidden/>
              </w:rPr>
              <w:t>1</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46" w:history="1">
            <w:r w:rsidR="004729BF" w:rsidRPr="00264CAE">
              <w:rPr>
                <w:rStyle w:val="a7"/>
                <w:rFonts w:ascii="Times New Roman" w:cs="Times New Roman" w:hint="eastAsia"/>
              </w:rPr>
              <w:t>（一）学校基本情况</w:t>
            </w:r>
            <w:r w:rsidR="004729BF">
              <w:rPr>
                <w:webHidden/>
              </w:rPr>
              <w:tab/>
            </w:r>
            <w:r w:rsidR="004729BF">
              <w:rPr>
                <w:webHidden/>
              </w:rPr>
              <w:fldChar w:fldCharType="begin"/>
            </w:r>
            <w:r w:rsidR="004729BF">
              <w:rPr>
                <w:webHidden/>
              </w:rPr>
              <w:instrText xml:space="preserve"> PAGEREF _Toc488246746 \h </w:instrText>
            </w:r>
            <w:r w:rsidR="004729BF">
              <w:rPr>
                <w:webHidden/>
              </w:rPr>
            </w:r>
            <w:r w:rsidR="004729BF">
              <w:rPr>
                <w:webHidden/>
              </w:rPr>
              <w:fldChar w:fldCharType="separate"/>
            </w:r>
            <w:r w:rsidR="0087446F">
              <w:rPr>
                <w:webHidden/>
              </w:rPr>
              <w:t>1</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47" w:history="1">
            <w:r w:rsidR="004729BF" w:rsidRPr="00264CAE">
              <w:rPr>
                <w:rStyle w:val="a7"/>
                <w:rFonts w:ascii="Times New Roman" w:cs="Times New Roman" w:hint="eastAsia"/>
              </w:rPr>
              <w:t>（二）部门决算单位构成</w:t>
            </w:r>
            <w:r w:rsidR="004729BF">
              <w:rPr>
                <w:webHidden/>
              </w:rPr>
              <w:tab/>
            </w:r>
            <w:r w:rsidR="004729BF">
              <w:rPr>
                <w:webHidden/>
              </w:rPr>
              <w:fldChar w:fldCharType="begin"/>
            </w:r>
            <w:r w:rsidR="004729BF">
              <w:rPr>
                <w:webHidden/>
              </w:rPr>
              <w:instrText xml:space="preserve"> PAGEREF _Toc488246747 \h </w:instrText>
            </w:r>
            <w:r w:rsidR="004729BF">
              <w:rPr>
                <w:webHidden/>
              </w:rPr>
            </w:r>
            <w:r w:rsidR="004729BF">
              <w:rPr>
                <w:webHidden/>
              </w:rPr>
              <w:fldChar w:fldCharType="separate"/>
            </w:r>
            <w:r w:rsidR="0087446F">
              <w:rPr>
                <w:webHidden/>
              </w:rPr>
              <w:t>4</w:t>
            </w:r>
            <w:r w:rsidR="004729BF">
              <w:rPr>
                <w:webHidden/>
              </w:rPr>
              <w:fldChar w:fldCharType="end"/>
            </w:r>
          </w:hyperlink>
        </w:p>
        <w:p w:rsidR="004729BF" w:rsidRDefault="00C4732E">
          <w:pPr>
            <w:pStyle w:val="10"/>
            <w:rPr>
              <w:rFonts w:asciiTheme="minorHAnsi" w:eastAsiaTheme="minorEastAsia" w:hAnsiTheme="minorHAnsi"/>
              <w:sz w:val="21"/>
              <w:szCs w:val="22"/>
            </w:rPr>
          </w:pPr>
          <w:hyperlink w:anchor="_Toc488246748" w:history="1">
            <w:r w:rsidR="004729BF" w:rsidRPr="00264CAE">
              <w:rPr>
                <w:rStyle w:val="a7"/>
                <w:rFonts w:ascii="Times New Roman" w:cs="Times New Roman" w:hint="eastAsia"/>
              </w:rPr>
              <w:t>二、</w:t>
            </w:r>
            <w:r w:rsidR="004729BF" w:rsidRPr="00264CAE">
              <w:rPr>
                <w:rStyle w:val="a7"/>
                <w:rFonts w:ascii="Times New Roman" w:cs="Times New Roman"/>
              </w:rPr>
              <w:t>2016</w:t>
            </w:r>
            <w:r w:rsidR="004729BF" w:rsidRPr="00264CAE">
              <w:rPr>
                <w:rStyle w:val="a7"/>
                <w:rFonts w:ascii="Times New Roman" w:cs="Times New Roman" w:hint="eastAsia"/>
              </w:rPr>
              <w:t>年部门决算报表</w:t>
            </w:r>
            <w:r w:rsidR="004729BF">
              <w:rPr>
                <w:webHidden/>
              </w:rPr>
              <w:tab/>
            </w:r>
            <w:r w:rsidR="004729BF">
              <w:rPr>
                <w:webHidden/>
              </w:rPr>
              <w:fldChar w:fldCharType="begin"/>
            </w:r>
            <w:r w:rsidR="004729BF">
              <w:rPr>
                <w:webHidden/>
              </w:rPr>
              <w:instrText xml:space="preserve"> PAGEREF _Toc488246748 \h </w:instrText>
            </w:r>
            <w:r w:rsidR="004729BF">
              <w:rPr>
                <w:webHidden/>
              </w:rPr>
            </w:r>
            <w:r w:rsidR="004729BF">
              <w:rPr>
                <w:webHidden/>
              </w:rPr>
              <w:fldChar w:fldCharType="separate"/>
            </w:r>
            <w:r w:rsidR="0087446F">
              <w:rPr>
                <w:webHidden/>
              </w:rPr>
              <w:t>5</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49" w:history="1">
            <w:r w:rsidR="004729BF">
              <w:rPr>
                <w:rStyle w:val="a7"/>
                <w:rFonts w:hint="eastAsia"/>
              </w:rPr>
              <w:t>（一）</w:t>
            </w:r>
            <w:r w:rsidR="004729BF" w:rsidRPr="00264CAE">
              <w:rPr>
                <w:rStyle w:val="a7"/>
                <w:rFonts w:hint="eastAsia"/>
              </w:rPr>
              <w:t>高等学校收支决算总表</w:t>
            </w:r>
            <w:r w:rsidR="004729BF">
              <w:rPr>
                <w:webHidden/>
              </w:rPr>
              <w:tab/>
            </w:r>
            <w:r w:rsidR="004729BF">
              <w:rPr>
                <w:webHidden/>
              </w:rPr>
              <w:fldChar w:fldCharType="begin"/>
            </w:r>
            <w:r w:rsidR="004729BF">
              <w:rPr>
                <w:webHidden/>
              </w:rPr>
              <w:instrText xml:space="preserve"> PAGEREF _Toc488246749 \h </w:instrText>
            </w:r>
            <w:r w:rsidR="004729BF">
              <w:rPr>
                <w:webHidden/>
              </w:rPr>
            </w:r>
            <w:r w:rsidR="004729BF">
              <w:rPr>
                <w:webHidden/>
              </w:rPr>
              <w:fldChar w:fldCharType="separate"/>
            </w:r>
            <w:r w:rsidR="0087446F">
              <w:rPr>
                <w:webHidden/>
              </w:rPr>
              <w:t>5</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0" w:history="1">
            <w:r w:rsidR="004729BF">
              <w:rPr>
                <w:rStyle w:val="a7"/>
                <w:rFonts w:hint="eastAsia"/>
              </w:rPr>
              <w:t>（二）</w:t>
            </w:r>
            <w:r w:rsidR="004729BF" w:rsidRPr="00264CAE">
              <w:rPr>
                <w:rStyle w:val="a7"/>
                <w:rFonts w:hint="eastAsia"/>
              </w:rPr>
              <w:t>高等学校收入决算表</w:t>
            </w:r>
            <w:r w:rsidR="004729BF">
              <w:rPr>
                <w:webHidden/>
              </w:rPr>
              <w:tab/>
            </w:r>
            <w:r w:rsidR="004729BF">
              <w:rPr>
                <w:webHidden/>
              </w:rPr>
              <w:fldChar w:fldCharType="begin"/>
            </w:r>
            <w:r w:rsidR="004729BF">
              <w:rPr>
                <w:webHidden/>
              </w:rPr>
              <w:instrText xml:space="preserve"> PAGEREF _Toc488246750 \h </w:instrText>
            </w:r>
            <w:r w:rsidR="004729BF">
              <w:rPr>
                <w:webHidden/>
              </w:rPr>
            </w:r>
            <w:r w:rsidR="004729BF">
              <w:rPr>
                <w:webHidden/>
              </w:rPr>
              <w:fldChar w:fldCharType="separate"/>
            </w:r>
            <w:r w:rsidR="0087446F">
              <w:rPr>
                <w:webHidden/>
              </w:rPr>
              <w:t>7</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1" w:history="1">
            <w:r w:rsidR="004729BF">
              <w:rPr>
                <w:rStyle w:val="a7"/>
                <w:rFonts w:hint="eastAsia"/>
              </w:rPr>
              <w:t>（三）</w:t>
            </w:r>
            <w:r w:rsidR="004729BF" w:rsidRPr="00264CAE">
              <w:rPr>
                <w:rStyle w:val="a7"/>
                <w:rFonts w:hint="eastAsia"/>
              </w:rPr>
              <w:t>高等学校支出决算表</w:t>
            </w:r>
            <w:r w:rsidR="004729BF">
              <w:rPr>
                <w:webHidden/>
              </w:rPr>
              <w:tab/>
            </w:r>
            <w:r w:rsidR="004729BF">
              <w:rPr>
                <w:webHidden/>
              </w:rPr>
              <w:fldChar w:fldCharType="begin"/>
            </w:r>
            <w:r w:rsidR="004729BF">
              <w:rPr>
                <w:webHidden/>
              </w:rPr>
              <w:instrText xml:space="preserve"> PAGEREF _Toc488246751 \h </w:instrText>
            </w:r>
            <w:r w:rsidR="004729BF">
              <w:rPr>
                <w:webHidden/>
              </w:rPr>
            </w:r>
            <w:r w:rsidR="004729BF">
              <w:rPr>
                <w:webHidden/>
              </w:rPr>
              <w:fldChar w:fldCharType="separate"/>
            </w:r>
            <w:r w:rsidR="0087446F">
              <w:rPr>
                <w:webHidden/>
              </w:rPr>
              <w:t>8</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2" w:history="1">
            <w:r w:rsidR="004729BF">
              <w:rPr>
                <w:rStyle w:val="a7"/>
                <w:rFonts w:hint="eastAsia"/>
              </w:rPr>
              <w:t>（四）</w:t>
            </w:r>
            <w:r w:rsidR="004729BF" w:rsidRPr="00264CAE">
              <w:rPr>
                <w:rStyle w:val="a7"/>
                <w:rFonts w:hint="eastAsia"/>
              </w:rPr>
              <w:t>高等学校财政拨款支出决算表</w:t>
            </w:r>
            <w:r w:rsidR="004729BF">
              <w:rPr>
                <w:webHidden/>
              </w:rPr>
              <w:tab/>
            </w:r>
            <w:r w:rsidR="004729BF">
              <w:rPr>
                <w:webHidden/>
              </w:rPr>
              <w:fldChar w:fldCharType="begin"/>
            </w:r>
            <w:r w:rsidR="004729BF">
              <w:rPr>
                <w:webHidden/>
              </w:rPr>
              <w:instrText xml:space="preserve"> PAGEREF _Toc488246752 \h </w:instrText>
            </w:r>
            <w:r w:rsidR="004729BF">
              <w:rPr>
                <w:webHidden/>
              </w:rPr>
            </w:r>
            <w:r w:rsidR="004729BF">
              <w:rPr>
                <w:webHidden/>
              </w:rPr>
              <w:fldChar w:fldCharType="separate"/>
            </w:r>
            <w:r w:rsidR="0087446F">
              <w:rPr>
                <w:webHidden/>
              </w:rPr>
              <w:t>9</w:t>
            </w:r>
            <w:r w:rsidR="004729BF">
              <w:rPr>
                <w:webHidden/>
              </w:rPr>
              <w:fldChar w:fldCharType="end"/>
            </w:r>
          </w:hyperlink>
        </w:p>
        <w:p w:rsidR="004729BF" w:rsidRDefault="00C4732E">
          <w:pPr>
            <w:pStyle w:val="10"/>
            <w:rPr>
              <w:rFonts w:asciiTheme="minorHAnsi" w:eastAsiaTheme="minorEastAsia" w:hAnsiTheme="minorHAnsi"/>
              <w:sz w:val="21"/>
              <w:szCs w:val="22"/>
            </w:rPr>
          </w:pPr>
          <w:hyperlink w:anchor="_Toc488246753" w:history="1">
            <w:r w:rsidR="004729BF" w:rsidRPr="00264CAE">
              <w:rPr>
                <w:rStyle w:val="a7"/>
                <w:rFonts w:ascii="Times New Roman" w:cs="Times New Roman" w:hint="eastAsia"/>
              </w:rPr>
              <w:t>三、决算报表说明</w:t>
            </w:r>
            <w:r w:rsidR="004729BF">
              <w:rPr>
                <w:webHidden/>
              </w:rPr>
              <w:tab/>
            </w:r>
            <w:r w:rsidR="004729BF">
              <w:rPr>
                <w:webHidden/>
              </w:rPr>
              <w:fldChar w:fldCharType="begin"/>
            </w:r>
            <w:r w:rsidR="004729BF">
              <w:rPr>
                <w:webHidden/>
              </w:rPr>
              <w:instrText xml:space="preserve"> PAGEREF _Toc488246753 \h </w:instrText>
            </w:r>
            <w:r w:rsidR="004729BF">
              <w:rPr>
                <w:webHidden/>
              </w:rPr>
            </w:r>
            <w:r w:rsidR="004729BF">
              <w:rPr>
                <w:webHidden/>
              </w:rPr>
              <w:fldChar w:fldCharType="separate"/>
            </w:r>
            <w:r w:rsidR="0087446F">
              <w:rPr>
                <w:webHidden/>
              </w:rPr>
              <w:t>11</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4" w:history="1">
            <w:r w:rsidR="004729BF" w:rsidRPr="00264CAE">
              <w:rPr>
                <w:rStyle w:val="a7"/>
                <w:rFonts w:ascii="Times New Roman" w:cs="Times New Roman" w:hint="eastAsia"/>
              </w:rPr>
              <w:t>（一）高等学校收支决算总表说明</w:t>
            </w:r>
            <w:r w:rsidR="004729BF">
              <w:rPr>
                <w:webHidden/>
              </w:rPr>
              <w:tab/>
            </w:r>
            <w:r w:rsidR="004729BF">
              <w:rPr>
                <w:webHidden/>
              </w:rPr>
              <w:fldChar w:fldCharType="begin"/>
            </w:r>
            <w:r w:rsidR="004729BF">
              <w:rPr>
                <w:webHidden/>
              </w:rPr>
              <w:instrText xml:space="preserve"> PAGEREF _Toc488246754 \h </w:instrText>
            </w:r>
            <w:r w:rsidR="004729BF">
              <w:rPr>
                <w:webHidden/>
              </w:rPr>
            </w:r>
            <w:r w:rsidR="004729BF">
              <w:rPr>
                <w:webHidden/>
              </w:rPr>
              <w:fldChar w:fldCharType="separate"/>
            </w:r>
            <w:r w:rsidR="0087446F">
              <w:rPr>
                <w:webHidden/>
              </w:rPr>
              <w:t>11</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5" w:history="1">
            <w:r w:rsidR="004729BF" w:rsidRPr="00264CAE">
              <w:rPr>
                <w:rStyle w:val="a7"/>
                <w:rFonts w:ascii="Times New Roman" w:cs="Times New Roman" w:hint="eastAsia"/>
              </w:rPr>
              <w:t>（二）高等学校收入决算表说明</w:t>
            </w:r>
            <w:r w:rsidR="004729BF">
              <w:rPr>
                <w:webHidden/>
              </w:rPr>
              <w:tab/>
            </w:r>
            <w:r w:rsidR="004729BF">
              <w:rPr>
                <w:webHidden/>
              </w:rPr>
              <w:fldChar w:fldCharType="begin"/>
            </w:r>
            <w:r w:rsidR="004729BF">
              <w:rPr>
                <w:webHidden/>
              </w:rPr>
              <w:instrText xml:space="preserve"> PAGEREF _Toc488246755 \h </w:instrText>
            </w:r>
            <w:r w:rsidR="004729BF">
              <w:rPr>
                <w:webHidden/>
              </w:rPr>
            </w:r>
            <w:r w:rsidR="004729BF">
              <w:rPr>
                <w:webHidden/>
              </w:rPr>
              <w:fldChar w:fldCharType="separate"/>
            </w:r>
            <w:r w:rsidR="0087446F">
              <w:rPr>
                <w:webHidden/>
              </w:rPr>
              <w:t>12</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6" w:history="1">
            <w:r w:rsidR="004729BF" w:rsidRPr="00264CAE">
              <w:rPr>
                <w:rStyle w:val="a7"/>
                <w:rFonts w:ascii="Times New Roman" w:cs="Times New Roman" w:hint="eastAsia"/>
              </w:rPr>
              <w:t>（三）高等学校支出决算表说明</w:t>
            </w:r>
            <w:r w:rsidR="004729BF">
              <w:rPr>
                <w:webHidden/>
              </w:rPr>
              <w:tab/>
            </w:r>
            <w:r w:rsidR="004729BF">
              <w:rPr>
                <w:webHidden/>
              </w:rPr>
              <w:fldChar w:fldCharType="begin"/>
            </w:r>
            <w:r w:rsidR="004729BF">
              <w:rPr>
                <w:webHidden/>
              </w:rPr>
              <w:instrText xml:space="preserve"> PAGEREF _Toc488246756 \h </w:instrText>
            </w:r>
            <w:r w:rsidR="004729BF">
              <w:rPr>
                <w:webHidden/>
              </w:rPr>
            </w:r>
            <w:r w:rsidR="004729BF">
              <w:rPr>
                <w:webHidden/>
              </w:rPr>
              <w:fldChar w:fldCharType="separate"/>
            </w:r>
            <w:r w:rsidR="0087446F">
              <w:rPr>
                <w:webHidden/>
              </w:rPr>
              <w:t>12</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7" w:history="1">
            <w:r w:rsidR="004729BF" w:rsidRPr="00264CAE">
              <w:rPr>
                <w:rStyle w:val="a7"/>
                <w:rFonts w:ascii="Times New Roman" w:cs="Times New Roman" w:hint="eastAsia"/>
              </w:rPr>
              <w:t>（四）高等学校财政拨款支出决算表说明</w:t>
            </w:r>
            <w:r w:rsidR="004729BF">
              <w:rPr>
                <w:webHidden/>
              </w:rPr>
              <w:tab/>
            </w:r>
            <w:r w:rsidR="004729BF">
              <w:rPr>
                <w:webHidden/>
              </w:rPr>
              <w:fldChar w:fldCharType="begin"/>
            </w:r>
            <w:r w:rsidR="004729BF">
              <w:rPr>
                <w:webHidden/>
              </w:rPr>
              <w:instrText xml:space="preserve"> PAGEREF _Toc488246757 \h </w:instrText>
            </w:r>
            <w:r w:rsidR="004729BF">
              <w:rPr>
                <w:webHidden/>
              </w:rPr>
            </w:r>
            <w:r w:rsidR="004729BF">
              <w:rPr>
                <w:webHidden/>
              </w:rPr>
              <w:fldChar w:fldCharType="separate"/>
            </w:r>
            <w:r w:rsidR="0087446F">
              <w:rPr>
                <w:webHidden/>
              </w:rPr>
              <w:t>12</w:t>
            </w:r>
            <w:r w:rsidR="004729BF">
              <w:rPr>
                <w:webHidden/>
              </w:rPr>
              <w:fldChar w:fldCharType="end"/>
            </w:r>
          </w:hyperlink>
        </w:p>
        <w:p w:rsidR="004729BF" w:rsidRDefault="00C4732E">
          <w:pPr>
            <w:pStyle w:val="10"/>
            <w:rPr>
              <w:rFonts w:asciiTheme="minorHAnsi" w:eastAsiaTheme="minorEastAsia" w:hAnsiTheme="minorHAnsi"/>
              <w:sz w:val="21"/>
              <w:szCs w:val="22"/>
            </w:rPr>
          </w:pPr>
          <w:hyperlink w:anchor="_Toc488246758" w:history="1">
            <w:r w:rsidR="004729BF" w:rsidRPr="00264CAE">
              <w:rPr>
                <w:rStyle w:val="a7"/>
                <w:rFonts w:ascii="Times New Roman" w:cs="Times New Roman" w:hint="eastAsia"/>
              </w:rPr>
              <w:t>四、名词解释</w:t>
            </w:r>
            <w:r w:rsidR="004729BF">
              <w:rPr>
                <w:webHidden/>
              </w:rPr>
              <w:tab/>
            </w:r>
            <w:r w:rsidR="004729BF">
              <w:rPr>
                <w:webHidden/>
              </w:rPr>
              <w:fldChar w:fldCharType="begin"/>
            </w:r>
            <w:r w:rsidR="004729BF">
              <w:rPr>
                <w:webHidden/>
              </w:rPr>
              <w:instrText xml:space="preserve"> PAGEREF _Toc488246758 \h </w:instrText>
            </w:r>
            <w:r w:rsidR="004729BF">
              <w:rPr>
                <w:webHidden/>
              </w:rPr>
            </w:r>
            <w:r w:rsidR="004729BF">
              <w:rPr>
                <w:webHidden/>
              </w:rPr>
              <w:fldChar w:fldCharType="separate"/>
            </w:r>
            <w:r w:rsidR="0087446F">
              <w:rPr>
                <w:webHidden/>
              </w:rPr>
              <w:t>15</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59" w:history="1">
            <w:r w:rsidR="004729BF" w:rsidRPr="00264CAE">
              <w:rPr>
                <w:rStyle w:val="a7"/>
                <w:rFonts w:ascii="Times New Roman" w:cs="Times New Roman" w:hint="eastAsia"/>
              </w:rPr>
              <w:t>（一）支出功能分类科目说明</w:t>
            </w:r>
            <w:r w:rsidR="004729BF">
              <w:rPr>
                <w:webHidden/>
              </w:rPr>
              <w:tab/>
            </w:r>
            <w:r w:rsidR="004729BF">
              <w:rPr>
                <w:webHidden/>
              </w:rPr>
              <w:fldChar w:fldCharType="begin"/>
            </w:r>
            <w:r w:rsidR="004729BF">
              <w:rPr>
                <w:webHidden/>
              </w:rPr>
              <w:instrText xml:space="preserve"> PAGEREF _Toc488246759 \h </w:instrText>
            </w:r>
            <w:r w:rsidR="004729BF">
              <w:rPr>
                <w:webHidden/>
              </w:rPr>
            </w:r>
            <w:r w:rsidR="004729BF">
              <w:rPr>
                <w:webHidden/>
              </w:rPr>
              <w:fldChar w:fldCharType="separate"/>
            </w:r>
            <w:r w:rsidR="0087446F">
              <w:rPr>
                <w:webHidden/>
              </w:rPr>
              <w:t>15</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60" w:history="1">
            <w:r w:rsidR="004729BF" w:rsidRPr="00264CAE">
              <w:rPr>
                <w:rStyle w:val="a7"/>
                <w:rFonts w:ascii="Times New Roman" w:cs="Times New Roman" w:hint="eastAsia"/>
              </w:rPr>
              <w:t>（二）收入科目</w:t>
            </w:r>
            <w:r w:rsidR="004729BF">
              <w:rPr>
                <w:webHidden/>
              </w:rPr>
              <w:tab/>
            </w:r>
            <w:r w:rsidR="004729BF">
              <w:rPr>
                <w:webHidden/>
              </w:rPr>
              <w:fldChar w:fldCharType="begin"/>
            </w:r>
            <w:r w:rsidR="004729BF">
              <w:rPr>
                <w:webHidden/>
              </w:rPr>
              <w:instrText xml:space="preserve"> PAGEREF _Toc488246760 \h </w:instrText>
            </w:r>
            <w:r w:rsidR="004729BF">
              <w:rPr>
                <w:webHidden/>
              </w:rPr>
            </w:r>
            <w:r w:rsidR="004729BF">
              <w:rPr>
                <w:webHidden/>
              </w:rPr>
              <w:fldChar w:fldCharType="separate"/>
            </w:r>
            <w:r w:rsidR="0087446F">
              <w:rPr>
                <w:webHidden/>
              </w:rPr>
              <w:t>16</w:t>
            </w:r>
            <w:r w:rsidR="004729BF">
              <w:rPr>
                <w:webHidden/>
              </w:rPr>
              <w:fldChar w:fldCharType="end"/>
            </w:r>
          </w:hyperlink>
        </w:p>
        <w:p w:rsidR="004729BF" w:rsidRDefault="00C4732E">
          <w:pPr>
            <w:pStyle w:val="20"/>
            <w:rPr>
              <w:rFonts w:asciiTheme="minorHAnsi" w:eastAsiaTheme="minorEastAsia" w:hAnsiTheme="minorHAnsi"/>
              <w:sz w:val="21"/>
              <w:szCs w:val="22"/>
            </w:rPr>
          </w:pPr>
          <w:hyperlink w:anchor="_Toc488246761" w:history="1">
            <w:r w:rsidR="004729BF" w:rsidRPr="00264CAE">
              <w:rPr>
                <w:rStyle w:val="a7"/>
                <w:rFonts w:ascii="Times New Roman" w:cs="Times New Roman" w:hint="eastAsia"/>
              </w:rPr>
              <w:t>（三）支出科目</w:t>
            </w:r>
            <w:r w:rsidR="004729BF">
              <w:rPr>
                <w:webHidden/>
              </w:rPr>
              <w:tab/>
            </w:r>
            <w:r w:rsidR="004729BF">
              <w:rPr>
                <w:webHidden/>
              </w:rPr>
              <w:fldChar w:fldCharType="begin"/>
            </w:r>
            <w:r w:rsidR="004729BF">
              <w:rPr>
                <w:webHidden/>
              </w:rPr>
              <w:instrText xml:space="preserve"> PAGEREF _Toc488246761 \h </w:instrText>
            </w:r>
            <w:r w:rsidR="004729BF">
              <w:rPr>
                <w:webHidden/>
              </w:rPr>
            </w:r>
            <w:r w:rsidR="004729BF">
              <w:rPr>
                <w:webHidden/>
              </w:rPr>
              <w:fldChar w:fldCharType="separate"/>
            </w:r>
            <w:r w:rsidR="0087446F">
              <w:rPr>
                <w:webHidden/>
              </w:rPr>
              <w:t>17</w:t>
            </w:r>
            <w:r w:rsidR="004729BF">
              <w:rPr>
                <w:webHidden/>
              </w:rPr>
              <w:fldChar w:fldCharType="end"/>
            </w:r>
          </w:hyperlink>
        </w:p>
        <w:p w:rsidR="002743EB" w:rsidRDefault="001B2DDF" w:rsidP="002001E5">
          <w:pPr>
            <w:spacing w:line="600" w:lineRule="auto"/>
          </w:pPr>
          <w:r w:rsidRPr="004F7D60">
            <w:rPr>
              <w:b/>
              <w:bCs/>
              <w:sz w:val="32"/>
              <w:szCs w:val="32"/>
              <w:lang w:val="zh-CN"/>
            </w:rPr>
            <w:fldChar w:fldCharType="end"/>
          </w:r>
        </w:p>
      </w:sdtContent>
    </w:sdt>
    <w:p w:rsidR="00701A1E" w:rsidRDefault="00701A1E" w:rsidP="00746E9A">
      <w:pPr>
        <w:pStyle w:val="1"/>
        <w:ind w:firstLineChars="200" w:firstLine="643"/>
        <w:rPr>
          <w:sz w:val="32"/>
          <w:szCs w:val="32"/>
        </w:rPr>
        <w:sectPr w:rsidR="00701A1E" w:rsidSect="00B534AD">
          <w:footerReference w:type="default" r:id="rId10"/>
          <w:pgSz w:w="11906" w:h="16838"/>
          <w:pgMar w:top="1440" w:right="1800" w:bottom="1440" w:left="1800" w:header="851" w:footer="992" w:gutter="0"/>
          <w:cols w:space="425"/>
          <w:docGrid w:type="lines" w:linePitch="312"/>
        </w:sectPr>
      </w:pPr>
    </w:p>
    <w:p w:rsidR="00964AF3" w:rsidRPr="000307A3" w:rsidRDefault="007E1BCF" w:rsidP="000307A3">
      <w:pPr>
        <w:pStyle w:val="1"/>
        <w:ind w:firstLineChars="200" w:firstLine="643"/>
        <w:rPr>
          <w:rFonts w:ascii="Times New Roman" w:eastAsia="黑体" w:hAnsi="Times New Roman" w:cs="Times New Roman"/>
          <w:sz w:val="32"/>
          <w:szCs w:val="32"/>
        </w:rPr>
      </w:pPr>
      <w:bookmarkStart w:id="0" w:name="_Toc488246745"/>
      <w:r w:rsidRPr="000307A3">
        <w:rPr>
          <w:rFonts w:ascii="Times New Roman" w:eastAsia="黑体" w:hAnsi="黑体" w:cs="Times New Roman"/>
          <w:sz w:val="32"/>
          <w:szCs w:val="32"/>
        </w:rPr>
        <w:lastRenderedPageBreak/>
        <w:t>一、</w:t>
      </w:r>
      <w:r w:rsidR="00964AF3" w:rsidRPr="000307A3">
        <w:rPr>
          <w:rFonts w:ascii="Times New Roman" w:eastAsia="黑体" w:hAnsi="黑体" w:cs="Times New Roman"/>
          <w:sz w:val="32"/>
          <w:szCs w:val="32"/>
        </w:rPr>
        <w:t>学校</w:t>
      </w:r>
      <w:r w:rsidRPr="000307A3">
        <w:rPr>
          <w:rFonts w:ascii="Times New Roman" w:eastAsia="黑体" w:hAnsi="黑体" w:cs="Times New Roman"/>
          <w:sz w:val="32"/>
          <w:szCs w:val="32"/>
        </w:rPr>
        <w:t>概况</w:t>
      </w:r>
      <w:bookmarkEnd w:id="0"/>
    </w:p>
    <w:p w:rsidR="007E1BCF" w:rsidRDefault="007E1BCF" w:rsidP="00150250">
      <w:pPr>
        <w:pStyle w:val="2"/>
        <w:ind w:firstLineChars="200" w:firstLine="640"/>
        <w:rPr>
          <w:rFonts w:ascii="Times New Roman" w:eastAsia="华文楷体" w:hAnsi="华文楷体" w:cs="Times New Roman"/>
        </w:rPr>
      </w:pPr>
      <w:bookmarkStart w:id="1" w:name="_Toc488246746"/>
      <w:r w:rsidRPr="00A901FC">
        <w:rPr>
          <w:rFonts w:ascii="Times New Roman" w:eastAsia="华文楷体" w:hAnsi="华文楷体" w:cs="Times New Roman"/>
        </w:rPr>
        <w:t>（一）学校基本情况</w:t>
      </w:r>
      <w:bookmarkEnd w:id="1"/>
    </w:p>
    <w:p w:rsidR="00563895" w:rsidRPr="000307A3" w:rsidRDefault="00F97FEA" w:rsidP="00563895">
      <w:pPr>
        <w:rPr>
          <w:rFonts w:asciiTheme="minorEastAsia" w:hAnsiTheme="minorEastAsia" w:cs="Times New Roman"/>
          <w:sz w:val="32"/>
          <w:szCs w:val="32"/>
        </w:rPr>
      </w:pPr>
      <w:r>
        <w:rPr>
          <w:rFonts w:ascii="Times New Roman" w:eastAsia="仿宋_GB2312" w:hAnsi="Times New Roman" w:cs="Times New Roman" w:hint="eastAsia"/>
          <w:sz w:val="32"/>
          <w:szCs w:val="32"/>
        </w:rPr>
        <w:t xml:space="preserve">    </w:t>
      </w:r>
      <w:r w:rsidR="00563895" w:rsidRPr="000307A3">
        <w:rPr>
          <w:rFonts w:asciiTheme="minorEastAsia" w:hAnsiTheme="minorEastAsia" w:cs="Times New Roman" w:hint="eastAsia"/>
          <w:sz w:val="32"/>
          <w:szCs w:val="32"/>
        </w:rPr>
        <w:t>中国政法大学是一所以法学为特色和优势，兼有文学、历史学、哲学、经济学、管理学、教育学、理学等学科的“211工程”重点建设大学，“‘985工程’优势学科创新平台”、“2011计划”和“111计划”（高等学校学科创新引智计划）重点建设高校，直属于国家教育部，正致力于建设世界一流大学和一流学科。现有海淀区学院路和昌平区府学路两个校区。</w:t>
      </w:r>
    </w:p>
    <w:p w:rsidR="00563895" w:rsidRPr="000307A3" w:rsidRDefault="00563895" w:rsidP="00563895">
      <w:pPr>
        <w:rPr>
          <w:rFonts w:asciiTheme="minorEastAsia" w:hAnsiTheme="minorEastAsia" w:cs="Times New Roman"/>
          <w:sz w:val="32"/>
          <w:szCs w:val="32"/>
        </w:rPr>
      </w:pPr>
      <w:r w:rsidRPr="000307A3">
        <w:rPr>
          <w:rFonts w:asciiTheme="minorEastAsia" w:hAnsiTheme="minorEastAsia" w:cs="Times New Roman" w:hint="eastAsia"/>
          <w:sz w:val="32"/>
          <w:szCs w:val="32"/>
        </w:rPr>
        <w:t>学校的前身是1952年由北京大学、清华大学、燕京大学、辅仁大学四校的法学、政治学、社会学等学科组合而成的北京政法学院，毛泽东同志亲笔题写了校名。1954年，学校迁址至学院路。1960年成为国家确定的全国重点高校。文革中学校停办，1978年复办。1983年，北京政法学院与中央政法干校合并，组建为中国政法大学，邓小平同志亲笔题写了校名。学校形成一校及本科生院、研究生院、进修生院三院办学格局。1985年，学校开辟昌平校区。进修生院后更名为中央政法管理干部学院单独办学，2000年，复又合并于中国政法大学。</w:t>
      </w:r>
    </w:p>
    <w:p w:rsidR="00563895" w:rsidRPr="000307A3" w:rsidRDefault="00563895" w:rsidP="00745999">
      <w:pPr>
        <w:ind w:firstLineChars="200" w:firstLine="640"/>
        <w:rPr>
          <w:rFonts w:asciiTheme="minorEastAsia" w:hAnsiTheme="minorEastAsia" w:cs="Times New Roman"/>
          <w:sz w:val="32"/>
          <w:szCs w:val="32"/>
        </w:rPr>
      </w:pPr>
      <w:r w:rsidRPr="000307A3">
        <w:rPr>
          <w:rFonts w:asciiTheme="minorEastAsia" w:hAnsiTheme="minorEastAsia" w:cs="Times New Roman" w:hint="eastAsia"/>
          <w:sz w:val="32"/>
          <w:szCs w:val="32"/>
        </w:rPr>
        <w:t>学校在60多年的办学历程中，为国家培养了各类优秀人才20余万人，不仅参与了自建校以来几乎国家的所有立法活动，引领着国家法学理论的变革和法律思想的更新，代</w:t>
      </w:r>
      <w:r w:rsidRPr="000307A3">
        <w:rPr>
          <w:rFonts w:asciiTheme="minorEastAsia" w:hAnsiTheme="minorEastAsia" w:cs="Times New Roman" w:hint="eastAsia"/>
          <w:sz w:val="32"/>
          <w:szCs w:val="32"/>
        </w:rPr>
        <w:lastRenderedPageBreak/>
        <w:t>表着国家对外进行法学等领域的学术交流，而且多学科的人才培养模式也为社会输送了一大批经济管理、文史哲学等领域的高级专门人才，成为政治经济社会发展的生力军。</w:t>
      </w:r>
    </w:p>
    <w:p w:rsidR="00563895" w:rsidRPr="000307A3" w:rsidRDefault="00563895" w:rsidP="00563895">
      <w:pPr>
        <w:rPr>
          <w:rFonts w:asciiTheme="minorEastAsia" w:hAnsiTheme="minorEastAsia" w:cs="Times New Roman"/>
          <w:sz w:val="32"/>
          <w:szCs w:val="32"/>
        </w:rPr>
      </w:pPr>
      <w:r w:rsidRPr="000307A3">
        <w:rPr>
          <w:rFonts w:asciiTheme="minorEastAsia" w:hAnsiTheme="minorEastAsia" w:cs="Times New Roman" w:hint="eastAsia"/>
          <w:sz w:val="32"/>
          <w:szCs w:val="32"/>
        </w:rPr>
        <w:t>学校现有全日制在校生16243人，其中本科生9109人，研究生6253人，留学生881人；教师968人，其中教学科研岗位教师879人，辅导员89人；教学科研岗位教师中教授309人，博士生导师193人、硕士生导师613人，有博士或硕士学位的比例达90.33%。</w:t>
      </w:r>
    </w:p>
    <w:p w:rsidR="00563895" w:rsidRPr="000307A3" w:rsidRDefault="00563895" w:rsidP="00745999">
      <w:pPr>
        <w:ind w:firstLineChars="200" w:firstLine="640"/>
        <w:rPr>
          <w:rFonts w:asciiTheme="minorEastAsia" w:hAnsiTheme="minorEastAsia" w:cs="Times New Roman"/>
          <w:sz w:val="32"/>
          <w:szCs w:val="32"/>
        </w:rPr>
      </w:pPr>
      <w:r w:rsidRPr="000307A3">
        <w:rPr>
          <w:rFonts w:asciiTheme="minorEastAsia" w:hAnsiTheme="minorEastAsia" w:cs="Times New Roman" w:hint="eastAsia"/>
          <w:sz w:val="32"/>
          <w:szCs w:val="32"/>
        </w:rPr>
        <w:t>学校现有法学院、民商经济法学院、国际法学院、刑事司法学院、政治与公共管理学院、商学院、人文学院、外国语学院、马克思主义学院、社会学院、光明新闻传播学院、中欧法学院、法律硕士学院、国际儒学院、国际教育学院/港澳台教育中心、继续教育学院/网络教育学院、科学技术教学部、体育教学部共18个教学单位；设有诉讼法学研究院（教育部人文社会科学重点研究基地）、法律史学研究院（教育部人文社会科学重点研究基地）、证据科学研究院（教育部重点实验室）、法治政府研究院（北京市哲学社会科学研究基地、教育部青少年法制教育研究基地）、人权研究院（国家人权教育与培训基地）、比较法学研究院、法律古籍整理研究所、法学教育研究与评估中心/高等教育研究所、法与经济学研究院、全球化与全球问题研究所、公司法与投资保护研究所等11个在编科研机构；设有资本金融研究院、</w:t>
      </w:r>
      <w:r w:rsidRPr="000307A3">
        <w:rPr>
          <w:rFonts w:asciiTheme="minorEastAsia" w:hAnsiTheme="minorEastAsia" w:cs="Times New Roman" w:hint="eastAsia"/>
          <w:sz w:val="32"/>
          <w:szCs w:val="32"/>
        </w:rPr>
        <w:lastRenderedPageBreak/>
        <w:t>仲裁研究院、互联网金融法律研究院、绿色发展战略研究院、制度学研究院5个新型研究机构；设有司法文明协同创新中心、国家领土主权与海洋权益协同创新中心、马克思主义与全面依法治国协同创新中心、全球治理与国际法治协同创新中心、知识经济与法治发展协同创新中心、人权建设协同创新中心、法治政府协同创新中心7个协同创新中心。其中，由中国政法大学牵头组建的司法文明协同创新中心是首批经教育部、财政部认定的14个国家“2011计划”协同创新中心之一，学校参与组建的“国家领土主权与海洋权益协同创新中心”成为第二批获得认定的24个国家“2011计划”协同创新中心之一, 学校牵头组建的“马克思主义与全面依法治国协同创新中心”获批北京高校中国特色社会主义理论研究协同创新中心之一。学校积极推进新型智库建设，2016年设立了国家治理研究院，作为新型综合性实体研究机构和学校科研发展的总平台，聚焦重大问题，服务国家战略，为国家法治和经济社会发展持续提供高质量的智力支持。</w:t>
      </w:r>
    </w:p>
    <w:p w:rsidR="00563895" w:rsidRPr="000307A3" w:rsidRDefault="00563895" w:rsidP="004338C4">
      <w:pPr>
        <w:ind w:firstLineChars="200" w:firstLine="640"/>
        <w:rPr>
          <w:rFonts w:asciiTheme="minorEastAsia" w:hAnsiTheme="minorEastAsia" w:cs="Times New Roman"/>
          <w:sz w:val="32"/>
          <w:szCs w:val="32"/>
        </w:rPr>
      </w:pPr>
      <w:r w:rsidRPr="000307A3">
        <w:rPr>
          <w:rFonts w:asciiTheme="minorEastAsia" w:hAnsiTheme="minorEastAsia" w:cs="Times New Roman" w:hint="eastAsia"/>
          <w:sz w:val="32"/>
          <w:szCs w:val="32"/>
        </w:rPr>
        <w:t>学校设有法学、侦查学、政治学与行政学、行政管理、国际政治、公共事业管理、工商管理、经济学、国际商务、哲学、汉语言文学、思想政治教育、社会学、社会工作、应用心理学、英语、德语、新闻学、数学与应用数学、翻译、金融工程、汉语言、网络与新媒体、法治信息管理共24个本科专业，其中法学、政治学与行政学、社会学为国家级特</w:t>
      </w:r>
      <w:r w:rsidRPr="000307A3">
        <w:rPr>
          <w:rFonts w:asciiTheme="minorEastAsia" w:hAnsiTheme="minorEastAsia" w:cs="Times New Roman" w:hint="eastAsia"/>
          <w:sz w:val="32"/>
          <w:szCs w:val="32"/>
        </w:rPr>
        <w:lastRenderedPageBreak/>
        <w:t>色专业。拥有34个博士学位授权点、78个硕士学位授权点、5个专业硕士学位授权点和3个博士后科研流动站。法学、政治学、马克思主义理论为博士学位授权一级学科，哲学、理论经济学、应用经济学、社会学、心理学、外国语言文学、新闻传播学、中国史、工商管理、公共管理为硕士学位授权一级学科，其中，法学为一级学科国家重点学科，政治学为一级学科北京市重点学科。</w:t>
      </w:r>
    </w:p>
    <w:p w:rsidR="00563895" w:rsidRPr="000307A3" w:rsidRDefault="00563895" w:rsidP="00745999">
      <w:pPr>
        <w:ind w:firstLineChars="200" w:firstLine="640"/>
        <w:rPr>
          <w:rFonts w:asciiTheme="minorEastAsia" w:hAnsiTheme="minorEastAsia" w:cs="Times New Roman"/>
          <w:sz w:val="32"/>
          <w:szCs w:val="32"/>
        </w:rPr>
      </w:pPr>
      <w:r w:rsidRPr="000307A3">
        <w:rPr>
          <w:rFonts w:asciiTheme="minorEastAsia" w:hAnsiTheme="minorEastAsia" w:cs="Times New Roman" w:hint="eastAsia"/>
          <w:sz w:val="32"/>
          <w:szCs w:val="32"/>
        </w:rPr>
        <w:t>学校先后与45个国家和地区的215所知名大学和机构建立了合作关系，每年通过各类合作交流项目派出千余名师生赴境外交流学习，聘请三百余名长短期外国专家来校讲学。2008年建立的中国政法大学中欧法学院是中国政府和欧盟在法学教育领域最大的合作项目。学校从2009年开始全面实施国际化发展战略，不断提升国际化办学水平，学校培养国际型人才的格局已经初步形成。2012年以来，学校先后在英国、罗马尼亚、巴巴多斯建成3所孔子学院。</w:t>
      </w:r>
    </w:p>
    <w:p w:rsidR="00563895" w:rsidRPr="000307A3" w:rsidRDefault="00563895" w:rsidP="00745999">
      <w:pPr>
        <w:ind w:firstLineChars="200" w:firstLine="640"/>
        <w:rPr>
          <w:rFonts w:asciiTheme="minorEastAsia" w:hAnsiTheme="minorEastAsia" w:cs="Times New Roman"/>
          <w:sz w:val="32"/>
          <w:szCs w:val="32"/>
        </w:rPr>
      </w:pPr>
      <w:r w:rsidRPr="000307A3">
        <w:rPr>
          <w:rFonts w:asciiTheme="minorEastAsia" w:hAnsiTheme="minorEastAsia" w:cs="Times New Roman" w:hint="eastAsia"/>
          <w:sz w:val="32"/>
          <w:szCs w:val="32"/>
        </w:rPr>
        <w:t>学校的校训是：厚德、明法、格物、致公。</w:t>
      </w:r>
    </w:p>
    <w:p w:rsidR="00F97FEA" w:rsidRPr="00F97FEA" w:rsidRDefault="00563895" w:rsidP="00745999">
      <w:pPr>
        <w:ind w:firstLineChars="200" w:firstLine="640"/>
        <w:rPr>
          <w:rFonts w:ascii="Times New Roman" w:eastAsia="仿宋_GB2312" w:hAnsi="Times New Roman" w:cs="Times New Roman"/>
          <w:sz w:val="32"/>
          <w:szCs w:val="32"/>
        </w:rPr>
      </w:pPr>
      <w:r w:rsidRPr="000307A3">
        <w:rPr>
          <w:rFonts w:asciiTheme="minorEastAsia" w:hAnsiTheme="minorEastAsia" w:cs="Times New Roman" w:hint="eastAsia"/>
          <w:sz w:val="32"/>
          <w:szCs w:val="32"/>
        </w:rPr>
        <w:t>学校的办学目标是：学校遵循国家教育方针和高等教育规律，弘扬传统，与时俱进，努力办成开放式、国际化、多科性、创新型的世界一流法科强校。</w:t>
      </w:r>
    </w:p>
    <w:p w:rsidR="00964AF3" w:rsidRPr="00A901FC" w:rsidRDefault="007E1BCF" w:rsidP="00150250">
      <w:pPr>
        <w:pStyle w:val="2"/>
        <w:ind w:firstLineChars="200" w:firstLine="640"/>
        <w:rPr>
          <w:rFonts w:ascii="Times New Roman" w:eastAsia="华文楷体" w:hAnsi="Times New Roman" w:cs="Times New Roman"/>
        </w:rPr>
      </w:pPr>
      <w:bookmarkStart w:id="2" w:name="_Toc488246747"/>
      <w:r w:rsidRPr="00A901FC">
        <w:rPr>
          <w:rFonts w:ascii="Times New Roman" w:eastAsia="华文楷体" w:hAnsi="华文楷体" w:cs="Times New Roman"/>
        </w:rPr>
        <w:t>（二）部门决</w:t>
      </w:r>
      <w:r w:rsidR="00964AF3" w:rsidRPr="00A901FC">
        <w:rPr>
          <w:rFonts w:ascii="Times New Roman" w:eastAsia="华文楷体" w:hAnsi="华文楷体" w:cs="Times New Roman"/>
        </w:rPr>
        <w:t>算单位构成</w:t>
      </w:r>
      <w:bookmarkEnd w:id="2"/>
    </w:p>
    <w:p w:rsidR="00964AF3" w:rsidRPr="000307A3" w:rsidRDefault="007E1BCF" w:rsidP="007E1BCF">
      <w:pPr>
        <w:jc w:val="left"/>
        <w:rPr>
          <w:rFonts w:asciiTheme="minorEastAsia" w:hAnsiTheme="minorEastAsia" w:cs="Times New Roman"/>
          <w:sz w:val="32"/>
          <w:szCs w:val="32"/>
        </w:rPr>
      </w:pPr>
      <w:r w:rsidRPr="00A901FC">
        <w:rPr>
          <w:rFonts w:ascii="Times New Roman" w:eastAsia="仿宋_GB2312" w:hAnsi="Times New Roman" w:cs="Times New Roman"/>
          <w:sz w:val="32"/>
          <w:szCs w:val="32"/>
        </w:rPr>
        <w:t xml:space="preserve">  </w:t>
      </w:r>
      <w:r w:rsidRPr="000307A3">
        <w:rPr>
          <w:rFonts w:asciiTheme="minorEastAsia" w:hAnsiTheme="minorEastAsia" w:cs="Times New Roman"/>
          <w:sz w:val="32"/>
          <w:szCs w:val="32"/>
        </w:rPr>
        <w:t xml:space="preserve">  </w:t>
      </w:r>
      <w:r w:rsidR="00150250" w:rsidRPr="000307A3">
        <w:rPr>
          <w:rFonts w:asciiTheme="minorEastAsia" w:hAnsiTheme="minorEastAsia" w:cs="仿宋_GB2312" w:hint="eastAsia"/>
          <w:sz w:val="32"/>
          <w:szCs w:val="32"/>
        </w:rPr>
        <w:t>学校部门决算反映中国政法大学本级的经费收支情况。</w:t>
      </w:r>
    </w:p>
    <w:p w:rsidR="00AE7BD1" w:rsidRPr="000307A3" w:rsidRDefault="00AE7BD1" w:rsidP="00A905BF">
      <w:pPr>
        <w:ind w:firstLineChars="200" w:firstLine="640"/>
        <w:jc w:val="left"/>
        <w:outlineLvl w:val="0"/>
        <w:rPr>
          <w:rFonts w:asciiTheme="minorEastAsia" w:hAnsiTheme="minorEastAsia"/>
          <w:sz w:val="32"/>
          <w:szCs w:val="32"/>
        </w:rPr>
        <w:sectPr w:rsidR="00AE7BD1" w:rsidRPr="000307A3" w:rsidSect="00701A1E">
          <w:footerReference w:type="default" r:id="rId11"/>
          <w:pgSz w:w="11906" w:h="16838"/>
          <w:pgMar w:top="1440" w:right="1800" w:bottom="1440" w:left="1800" w:header="851" w:footer="992" w:gutter="0"/>
          <w:pgNumType w:start="1"/>
          <w:cols w:space="425"/>
          <w:docGrid w:type="lines" w:linePitch="312"/>
        </w:sectPr>
      </w:pPr>
    </w:p>
    <w:tbl>
      <w:tblPr>
        <w:tblW w:w="5000" w:type="pct"/>
        <w:jc w:val="center"/>
        <w:tblLook w:val="04A0" w:firstRow="1" w:lastRow="0" w:firstColumn="1" w:lastColumn="0" w:noHBand="0" w:noVBand="1"/>
      </w:tblPr>
      <w:tblGrid>
        <w:gridCol w:w="5020"/>
        <w:gridCol w:w="2067"/>
        <w:gridCol w:w="5020"/>
        <w:gridCol w:w="2067"/>
      </w:tblGrid>
      <w:tr w:rsidR="00A103EE" w:rsidRPr="00A103EE" w:rsidTr="0085181F">
        <w:trPr>
          <w:trHeight w:val="525"/>
          <w:jc w:val="center"/>
        </w:trPr>
        <w:tc>
          <w:tcPr>
            <w:tcW w:w="1771" w:type="pct"/>
            <w:tcBorders>
              <w:top w:val="nil"/>
              <w:left w:val="nil"/>
              <w:bottom w:val="nil"/>
              <w:right w:val="nil"/>
            </w:tcBorders>
            <w:shd w:val="clear" w:color="auto" w:fill="auto"/>
            <w:noWrap/>
            <w:vAlign w:val="center"/>
            <w:hideMark/>
          </w:tcPr>
          <w:p w:rsidR="00A103EE" w:rsidRPr="00A103EE" w:rsidRDefault="00A103EE" w:rsidP="000307A3">
            <w:pPr>
              <w:pStyle w:val="1"/>
              <w:ind w:firstLineChars="200" w:firstLine="643"/>
              <w:rPr>
                <w:rFonts w:ascii="宋体" w:eastAsia="宋体" w:hAnsi="宋体" w:cs="Arial"/>
                <w:color w:val="000000"/>
                <w:kern w:val="0"/>
                <w:sz w:val="32"/>
                <w:szCs w:val="32"/>
              </w:rPr>
            </w:pPr>
            <w:r>
              <w:rPr>
                <w:rFonts w:ascii="黑体" w:eastAsia="黑体" w:hAnsi="黑体"/>
                <w:sz w:val="32"/>
                <w:szCs w:val="32"/>
              </w:rPr>
              <w:lastRenderedPageBreak/>
              <w:br w:type="page"/>
            </w:r>
            <w:bookmarkStart w:id="3" w:name="_Toc488246748"/>
            <w:r w:rsidR="00150250" w:rsidRPr="00A901FC">
              <w:rPr>
                <w:rFonts w:ascii="Times New Roman" w:eastAsia="黑体" w:hAnsi="黑体" w:cs="Times New Roman"/>
                <w:sz w:val="32"/>
                <w:szCs w:val="32"/>
              </w:rPr>
              <w:t>二、</w:t>
            </w:r>
            <w:r w:rsidR="00150250" w:rsidRPr="000307A3">
              <w:rPr>
                <w:rFonts w:ascii="Times New Roman" w:eastAsia="黑体" w:hAnsi="黑体" w:cs="Times New Roman"/>
                <w:sz w:val="32"/>
                <w:szCs w:val="32"/>
              </w:rPr>
              <w:t>201</w:t>
            </w:r>
            <w:r w:rsidR="00150250" w:rsidRPr="000307A3">
              <w:rPr>
                <w:rFonts w:ascii="Times New Roman" w:eastAsia="黑体" w:hAnsi="黑体" w:cs="Times New Roman" w:hint="eastAsia"/>
                <w:sz w:val="32"/>
                <w:szCs w:val="32"/>
              </w:rPr>
              <w:t>6</w:t>
            </w:r>
            <w:r w:rsidR="00150250" w:rsidRPr="00A901FC">
              <w:rPr>
                <w:rFonts w:ascii="Times New Roman" w:eastAsia="黑体" w:hAnsi="黑体" w:cs="Times New Roman"/>
                <w:sz w:val="32"/>
                <w:szCs w:val="32"/>
              </w:rPr>
              <w:t>年部门决算报表</w:t>
            </w:r>
            <w:bookmarkEnd w:id="3"/>
          </w:p>
        </w:tc>
        <w:tc>
          <w:tcPr>
            <w:tcW w:w="729" w:type="pct"/>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1771" w:type="pct"/>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c>
          <w:tcPr>
            <w:tcW w:w="729" w:type="pct"/>
            <w:tcBorders>
              <w:top w:val="nil"/>
              <w:left w:val="nil"/>
              <w:bottom w:val="nil"/>
              <w:right w:val="nil"/>
            </w:tcBorders>
            <w:shd w:val="clear" w:color="auto" w:fill="auto"/>
            <w:noWrap/>
            <w:vAlign w:val="center"/>
            <w:hideMark/>
          </w:tcPr>
          <w:p w:rsidR="00A103EE" w:rsidRPr="00A103EE" w:rsidRDefault="00A103EE" w:rsidP="00A103EE">
            <w:pPr>
              <w:widowControl/>
              <w:jc w:val="left"/>
              <w:rPr>
                <w:rFonts w:ascii="Arial" w:eastAsia="宋体" w:hAnsi="Arial" w:cs="Arial"/>
                <w:color w:val="000000"/>
                <w:kern w:val="0"/>
                <w:sz w:val="20"/>
                <w:szCs w:val="20"/>
              </w:rPr>
            </w:pPr>
          </w:p>
        </w:tc>
      </w:tr>
      <w:tr w:rsidR="00A103EE" w:rsidRPr="00A103EE" w:rsidTr="0085181F">
        <w:trPr>
          <w:trHeight w:val="420"/>
          <w:jc w:val="center"/>
        </w:trPr>
        <w:tc>
          <w:tcPr>
            <w:tcW w:w="5000" w:type="pct"/>
            <w:gridSpan w:val="4"/>
            <w:tcBorders>
              <w:top w:val="nil"/>
              <w:left w:val="nil"/>
              <w:bottom w:val="nil"/>
              <w:right w:val="nil"/>
            </w:tcBorders>
            <w:shd w:val="clear" w:color="auto" w:fill="auto"/>
            <w:noWrap/>
            <w:vAlign w:val="center"/>
            <w:hideMark/>
          </w:tcPr>
          <w:p w:rsidR="005B574C" w:rsidRDefault="005B574C" w:rsidP="005B574C">
            <w:pPr>
              <w:pStyle w:val="2"/>
              <w:jc w:val="center"/>
            </w:pPr>
            <w:r>
              <w:rPr>
                <w:rFonts w:asciiTheme="minorHAnsi" w:eastAsiaTheme="minorEastAsia" w:hAnsiTheme="minorHAnsi" w:cstheme="minorBidi"/>
                <w:b w:val="0"/>
                <w:bCs w:val="0"/>
                <w:sz w:val="21"/>
                <w:szCs w:val="22"/>
              </w:rPr>
              <w:br w:type="page"/>
            </w:r>
            <w:r>
              <w:rPr>
                <w:b w:val="0"/>
                <w:bCs w:val="0"/>
              </w:rPr>
              <w:br w:type="page"/>
            </w:r>
            <w:bookmarkStart w:id="4" w:name="_Toc488246749"/>
            <w:r w:rsidR="00A103EE" w:rsidRPr="00A103EE">
              <w:rPr>
                <w:rFonts w:hint="eastAsia"/>
              </w:rPr>
              <w:t>表</w:t>
            </w:r>
            <w:r w:rsidR="00A103EE" w:rsidRPr="00A103EE">
              <w:rPr>
                <w:rFonts w:hint="eastAsia"/>
              </w:rPr>
              <w:t>1</w:t>
            </w:r>
            <w:r w:rsidR="00A103EE" w:rsidRPr="00A103EE">
              <w:rPr>
                <w:rFonts w:hint="eastAsia"/>
              </w:rPr>
              <w:t>：高等学校收支决算总表</w:t>
            </w:r>
            <w:bookmarkEnd w:id="4"/>
          </w:p>
          <w:p w:rsidR="005B574C" w:rsidRPr="005B574C" w:rsidRDefault="005B574C" w:rsidP="005B574C">
            <w:pPr>
              <w:rPr>
                <w:sz w:val="24"/>
                <w:szCs w:val="24"/>
              </w:rPr>
            </w:pPr>
            <w:r w:rsidRPr="005B574C">
              <w:rPr>
                <w:rFonts w:hint="eastAsia"/>
                <w:sz w:val="24"/>
                <w:szCs w:val="24"/>
              </w:rPr>
              <w:t>单位</w:t>
            </w:r>
            <w:r>
              <w:rPr>
                <w:rFonts w:hint="eastAsia"/>
                <w:sz w:val="24"/>
                <w:szCs w:val="24"/>
              </w:rPr>
              <w:t>：中国政法大学</w:t>
            </w:r>
            <w:r>
              <w:rPr>
                <w:rFonts w:hint="eastAsia"/>
                <w:sz w:val="24"/>
                <w:szCs w:val="24"/>
              </w:rPr>
              <w:t xml:space="preserve">                                                                            </w:t>
            </w:r>
            <w:r>
              <w:rPr>
                <w:rFonts w:hint="eastAsia"/>
                <w:sz w:val="24"/>
                <w:szCs w:val="24"/>
              </w:rPr>
              <w:t>金额单位：万元</w:t>
            </w:r>
          </w:p>
        </w:tc>
      </w:tr>
      <w:tr w:rsidR="00A103EE" w:rsidRPr="00A103EE" w:rsidTr="0085181F">
        <w:trPr>
          <w:trHeight w:val="270"/>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收入</w:t>
            </w:r>
          </w:p>
        </w:tc>
        <w:tc>
          <w:tcPr>
            <w:tcW w:w="2500" w:type="pct"/>
            <w:gridSpan w:val="2"/>
            <w:tcBorders>
              <w:top w:val="single" w:sz="4" w:space="0" w:color="auto"/>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支出</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项目</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决算数</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项目(按功能分类)</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决算数</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栏次</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1</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栏次</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2</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一、财政拨款</w:t>
            </w:r>
            <w:r w:rsidR="001B1F88" w:rsidRPr="005B574C">
              <w:rPr>
                <w:rFonts w:asciiTheme="minorEastAsia" w:hAnsiTheme="minorEastAsia" w:cs="Arial" w:hint="eastAsia"/>
                <w:color w:val="000000"/>
                <w:kern w:val="0"/>
                <w:sz w:val="24"/>
                <w:szCs w:val="24"/>
              </w:rPr>
              <w:t>收入</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67</w:t>
            </w:r>
            <w:r w:rsidR="00E22D00" w:rsidRPr="005B574C">
              <w:rPr>
                <w:rFonts w:asciiTheme="minorEastAsia" w:hAnsiTheme="minorEastAsia" w:cs="Arial" w:hint="eastAsia"/>
                <w:color w:val="000000"/>
                <w:kern w:val="0"/>
                <w:sz w:val="24"/>
                <w:szCs w:val="24"/>
              </w:rPr>
              <w:t>,</w:t>
            </w:r>
            <w:r w:rsidRPr="005B574C">
              <w:rPr>
                <w:rFonts w:asciiTheme="minorEastAsia" w:hAnsiTheme="minorEastAsia" w:cs="Arial"/>
                <w:color w:val="000000"/>
                <w:kern w:val="0"/>
                <w:sz w:val="24"/>
                <w:szCs w:val="24"/>
              </w:rPr>
              <w:t>533.17</w:t>
            </w:r>
            <w:r w:rsidR="00A103EE"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一、一般公共服务</w:t>
            </w:r>
            <w:r w:rsidR="00EC1597" w:rsidRPr="005B574C">
              <w:rPr>
                <w:rFonts w:asciiTheme="minorEastAsia" w:hAnsiTheme="minorEastAsia" w:cs="Arial" w:hint="eastAsia"/>
                <w:color w:val="000000"/>
                <w:kern w:val="0"/>
                <w:sz w:val="24"/>
                <w:szCs w:val="24"/>
              </w:rPr>
              <w:t>支出</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15.72</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其中：政府性基金</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二、外交支出</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二、上级补助收入</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三、国防支出</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三、事业收入</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29,461.16</w:t>
            </w: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四、公共安全支出</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四、经营收入</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866.58</w:t>
            </w: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五、教育支出</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98</w:t>
            </w:r>
            <w:r w:rsidR="00E22D00" w:rsidRPr="005B574C">
              <w:rPr>
                <w:rFonts w:asciiTheme="minorEastAsia" w:hAnsiTheme="minorEastAsia" w:cs="Arial" w:hint="eastAsia"/>
                <w:color w:val="000000"/>
                <w:kern w:val="0"/>
                <w:sz w:val="24"/>
                <w:szCs w:val="24"/>
              </w:rPr>
              <w:t>,</w:t>
            </w:r>
            <w:r w:rsidRPr="005B574C">
              <w:rPr>
                <w:rFonts w:asciiTheme="minorEastAsia" w:hAnsiTheme="minorEastAsia" w:cs="Arial"/>
                <w:color w:val="000000"/>
                <w:kern w:val="0"/>
                <w:sz w:val="24"/>
                <w:szCs w:val="24"/>
              </w:rPr>
              <w:t>925.74</w:t>
            </w:r>
            <w:r w:rsidRPr="005B574C">
              <w:rPr>
                <w:rFonts w:asciiTheme="minorEastAsia" w:hAnsiTheme="minorEastAsia" w:cs="Arial" w:hint="eastAsia"/>
                <w:color w:val="000000"/>
                <w:kern w:val="0"/>
                <w:sz w:val="24"/>
                <w:szCs w:val="24"/>
              </w:rPr>
              <w:t xml:space="preserve">　</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五、附属单位上缴收入</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六、科学技术支出</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915.56</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六、其他收入</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10,790.63</w:t>
            </w: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七、文化体育与传媒支出</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3B222F"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八、社会保障和就业</w:t>
            </w:r>
            <w:r w:rsidR="00EC1597" w:rsidRPr="005B574C">
              <w:rPr>
                <w:rFonts w:asciiTheme="minorEastAsia" w:hAnsiTheme="minorEastAsia" w:cs="Arial" w:hint="eastAsia"/>
                <w:color w:val="000000"/>
                <w:kern w:val="0"/>
                <w:sz w:val="24"/>
                <w:szCs w:val="24"/>
              </w:rPr>
              <w:t>支出</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九、</w:t>
            </w:r>
            <w:r w:rsidR="00EC1597" w:rsidRPr="005B574C">
              <w:rPr>
                <w:rFonts w:asciiTheme="minorEastAsia" w:hAnsiTheme="minorEastAsia" w:cs="Arial" w:hint="eastAsia"/>
                <w:color w:val="000000"/>
                <w:kern w:val="0"/>
                <w:sz w:val="24"/>
                <w:szCs w:val="24"/>
              </w:rPr>
              <w:t>医疗卫生与计划生育支出</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十、节能环保</w:t>
            </w:r>
            <w:r w:rsidR="00EC1597" w:rsidRPr="005B574C">
              <w:rPr>
                <w:rFonts w:asciiTheme="minorEastAsia" w:hAnsiTheme="minorEastAsia" w:cs="Arial" w:hint="eastAsia"/>
                <w:color w:val="000000"/>
                <w:kern w:val="0"/>
                <w:sz w:val="24"/>
                <w:szCs w:val="24"/>
              </w:rPr>
              <w:t>支出</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210.12</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5D74B1"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十一、城乡社区</w:t>
            </w:r>
            <w:r w:rsidR="00EC1597" w:rsidRPr="005B574C">
              <w:rPr>
                <w:rFonts w:asciiTheme="minorEastAsia" w:hAnsiTheme="minorEastAsia" w:cs="Arial" w:hint="eastAsia"/>
                <w:color w:val="000000"/>
                <w:kern w:val="0"/>
                <w:sz w:val="24"/>
                <w:szCs w:val="24"/>
              </w:rPr>
              <w:t>支出</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十二、农林水</w:t>
            </w:r>
            <w:r w:rsidR="00EC1597" w:rsidRPr="005B574C">
              <w:rPr>
                <w:rFonts w:asciiTheme="minorEastAsia" w:hAnsiTheme="minorEastAsia" w:cs="Arial" w:hint="eastAsia"/>
                <w:color w:val="000000"/>
                <w:kern w:val="0"/>
                <w:sz w:val="24"/>
                <w:szCs w:val="24"/>
              </w:rPr>
              <w:t>支出</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十三、交通运输</w:t>
            </w:r>
            <w:r w:rsidR="00EC1597" w:rsidRPr="005B574C">
              <w:rPr>
                <w:rFonts w:asciiTheme="minorEastAsia" w:hAnsiTheme="minorEastAsia" w:cs="Arial" w:hint="eastAsia"/>
                <w:color w:val="000000"/>
                <w:kern w:val="0"/>
                <w:sz w:val="24"/>
                <w:szCs w:val="24"/>
              </w:rPr>
              <w:t>支出</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lastRenderedPageBreak/>
              <w:t xml:space="preserv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5B574C" w:rsidRDefault="00EC1597"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十四、资源勘探</w:t>
            </w:r>
            <w:r w:rsidR="00A103EE" w:rsidRPr="005B574C">
              <w:rPr>
                <w:rFonts w:asciiTheme="minorEastAsia" w:hAnsiTheme="minorEastAsia" w:cs="Arial" w:hint="eastAsia"/>
                <w:color w:val="000000"/>
                <w:kern w:val="0"/>
                <w:sz w:val="24"/>
                <w:szCs w:val="24"/>
              </w:rPr>
              <w:t>信息等</w:t>
            </w:r>
            <w:r w:rsidRPr="005B574C">
              <w:rPr>
                <w:rFonts w:asciiTheme="minorEastAsia" w:hAnsiTheme="minorEastAsia" w:cs="Arial" w:hint="eastAsia"/>
                <w:color w:val="000000"/>
                <w:kern w:val="0"/>
                <w:sz w:val="24"/>
                <w:szCs w:val="24"/>
              </w:rPr>
              <w:t>支出</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十五、商业服务业等</w:t>
            </w:r>
            <w:r w:rsidR="00EC1597" w:rsidRPr="005B574C">
              <w:rPr>
                <w:rFonts w:asciiTheme="minorEastAsia" w:hAnsiTheme="minorEastAsia" w:cs="Arial" w:hint="eastAsia"/>
                <w:color w:val="000000"/>
                <w:kern w:val="0"/>
                <w:sz w:val="24"/>
                <w:szCs w:val="24"/>
              </w:rPr>
              <w:t>支出</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十六、金融支出</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十七、援助其他地区支出</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十八、国土海洋气象等支出</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十九、住房保障支出</w:t>
            </w:r>
          </w:p>
        </w:tc>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4</w:t>
            </w:r>
            <w:r w:rsidR="00E22D00" w:rsidRPr="005B574C">
              <w:rPr>
                <w:rFonts w:asciiTheme="minorEastAsia" w:hAnsiTheme="minorEastAsia" w:cs="Arial" w:hint="eastAsia"/>
                <w:color w:val="000000"/>
                <w:kern w:val="0"/>
                <w:sz w:val="24"/>
                <w:szCs w:val="24"/>
              </w:rPr>
              <w:t>,</w:t>
            </w:r>
            <w:r w:rsidRPr="005B574C">
              <w:rPr>
                <w:rFonts w:asciiTheme="minorEastAsia" w:hAnsiTheme="minorEastAsia" w:cs="Arial"/>
                <w:color w:val="000000"/>
                <w:kern w:val="0"/>
                <w:sz w:val="24"/>
                <w:szCs w:val="24"/>
              </w:rPr>
              <w:t>629.03</w:t>
            </w:r>
            <w:r w:rsidR="009230FD"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二十、粮油物资储备支出</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二十一、国债还本付息支出</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二十二、其他支出</w:t>
            </w:r>
          </w:p>
        </w:tc>
        <w:tc>
          <w:tcPr>
            <w:tcW w:w="729" w:type="pct"/>
            <w:tcBorders>
              <w:top w:val="nil"/>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9230FD"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left"/>
              <w:rPr>
                <w:rFonts w:asciiTheme="minorEastAsia" w:hAnsiTheme="minorEastAsia" w:cs="Arial"/>
                <w:color w:val="000000"/>
                <w:kern w:val="0"/>
                <w:sz w:val="24"/>
                <w:szCs w:val="24"/>
              </w:rPr>
            </w:pPr>
          </w:p>
        </w:tc>
        <w:tc>
          <w:tcPr>
            <w:tcW w:w="1771" w:type="pct"/>
            <w:tcBorders>
              <w:top w:val="nil"/>
              <w:left w:val="nil"/>
              <w:bottom w:val="single" w:sz="4" w:space="0" w:color="auto"/>
              <w:right w:val="single" w:sz="4" w:space="0" w:color="auto"/>
            </w:tcBorders>
            <w:shd w:val="clear" w:color="auto" w:fill="auto"/>
            <w:noWrap/>
            <w:vAlign w:val="center"/>
            <w:hideMark/>
          </w:tcPr>
          <w:p w:rsidR="009230FD" w:rsidRPr="005B574C" w:rsidRDefault="009230FD" w:rsidP="003B222F">
            <w:pPr>
              <w:widowControl/>
              <w:jc w:val="left"/>
              <w:rPr>
                <w:rFonts w:asciiTheme="minorEastAsia" w:hAnsiTheme="minorEastAsia" w:cs="Arial"/>
                <w:color w:val="000000"/>
                <w:kern w:val="0"/>
                <w:sz w:val="24"/>
                <w:szCs w:val="24"/>
              </w:rPr>
            </w:pPr>
          </w:p>
        </w:tc>
        <w:tc>
          <w:tcPr>
            <w:tcW w:w="729" w:type="pct"/>
            <w:tcBorders>
              <w:top w:val="nil"/>
              <w:left w:val="nil"/>
              <w:bottom w:val="single" w:sz="4" w:space="0" w:color="auto"/>
              <w:right w:val="single" w:sz="4" w:space="0" w:color="auto"/>
            </w:tcBorders>
            <w:shd w:val="clear" w:color="auto" w:fill="auto"/>
            <w:noWrap/>
            <w:vAlign w:val="center"/>
            <w:hideMark/>
          </w:tcPr>
          <w:p w:rsidR="009230FD" w:rsidRPr="005B574C" w:rsidRDefault="009230FD"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r>
      <w:tr w:rsidR="00A103EE" w:rsidRPr="00A103EE" w:rsidTr="0085181F">
        <w:trPr>
          <w:trHeight w:val="308"/>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本年收入合计</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108,651.54</w:t>
            </w:r>
            <w:r w:rsidR="00A103EE"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本年支出合计</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E22D00">
            <w:pPr>
              <w:widowControl/>
              <w:jc w:val="right"/>
              <w:rPr>
                <w:rFonts w:asciiTheme="minorEastAsia" w:hAnsiTheme="minorEastAsia" w:cs="Arial"/>
                <w:bCs/>
                <w:color w:val="000000"/>
                <w:kern w:val="0"/>
                <w:sz w:val="24"/>
                <w:szCs w:val="24"/>
              </w:rPr>
            </w:pPr>
            <w:r w:rsidRPr="005B574C">
              <w:rPr>
                <w:rFonts w:asciiTheme="minorEastAsia" w:hAnsiTheme="minorEastAsia" w:cs="Arial" w:hint="eastAsia"/>
                <w:bCs/>
                <w:color w:val="000000"/>
                <w:kern w:val="0"/>
                <w:sz w:val="24"/>
                <w:szCs w:val="24"/>
              </w:rPr>
              <w:t xml:space="preserve">　</w:t>
            </w:r>
            <w:r w:rsidR="00E22D00" w:rsidRPr="005B574C">
              <w:rPr>
                <w:rFonts w:asciiTheme="minorEastAsia" w:hAnsiTheme="minorEastAsia" w:cs="Arial" w:hint="eastAsia"/>
                <w:bCs/>
                <w:color w:val="000000"/>
                <w:kern w:val="0"/>
                <w:sz w:val="24"/>
                <w:szCs w:val="24"/>
              </w:rPr>
              <w:t xml:space="preserve">   </w:t>
            </w:r>
            <w:r w:rsidR="003B222F" w:rsidRPr="005B574C">
              <w:rPr>
                <w:rFonts w:asciiTheme="minorEastAsia" w:hAnsiTheme="minorEastAsia" w:cs="Arial"/>
                <w:bCs/>
                <w:color w:val="000000"/>
                <w:kern w:val="0"/>
                <w:sz w:val="24"/>
                <w:szCs w:val="24"/>
              </w:rPr>
              <w:t>104,696.17</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用事业基金弥补收支差额</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723.91</w:t>
            </w: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结余分配</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E22D00">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r w:rsidR="00E22D00" w:rsidRPr="005B574C">
              <w:rPr>
                <w:rFonts w:asciiTheme="minorEastAsia" w:hAnsiTheme="minorEastAsia" w:cs="Arial"/>
                <w:color w:val="000000"/>
                <w:kern w:val="0"/>
                <w:sz w:val="24"/>
                <w:szCs w:val="24"/>
              </w:rPr>
              <w:t>82.61</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年初结转和结余</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12,365.72</w:t>
            </w: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其中：转入事业基金</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E22D00">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r w:rsidR="00E22D00" w:rsidRPr="005B574C">
              <w:rPr>
                <w:rFonts w:asciiTheme="minorEastAsia" w:hAnsiTheme="minorEastAsia" w:cs="Arial"/>
                <w:color w:val="000000"/>
                <w:kern w:val="0"/>
                <w:sz w:val="24"/>
                <w:szCs w:val="24"/>
              </w:rPr>
              <w:t>82.61</w:t>
            </w:r>
          </w:p>
        </w:tc>
      </w:tr>
      <w:tr w:rsidR="003B222F"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其中：项目支出结转和结余</w:t>
            </w:r>
          </w:p>
        </w:tc>
        <w:tc>
          <w:tcPr>
            <w:tcW w:w="729" w:type="pct"/>
            <w:tcBorders>
              <w:top w:val="nil"/>
              <w:left w:val="nil"/>
              <w:bottom w:val="single" w:sz="4" w:space="0" w:color="auto"/>
              <w:right w:val="single" w:sz="4" w:space="0" w:color="auto"/>
            </w:tcBorders>
            <w:shd w:val="clear" w:color="auto" w:fill="auto"/>
            <w:noWrap/>
            <w:hideMark/>
          </w:tcPr>
          <w:p w:rsidR="003B222F" w:rsidRPr="005B574C" w:rsidRDefault="003B222F" w:rsidP="003B222F">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12,365.72</w:t>
            </w:r>
          </w:p>
        </w:tc>
        <w:tc>
          <w:tcPr>
            <w:tcW w:w="1771" w:type="pct"/>
            <w:tcBorders>
              <w:top w:val="nil"/>
              <w:left w:val="nil"/>
              <w:bottom w:val="single" w:sz="4" w:space="0" w:color="auto"/>
              <w:right w:val="single" w:sz="4" w:space="0" w:color="auto"/>
            </w:tcBorders>
            <w:shd w:val="clear" w:color="auto" w:fill="auto"/>
            <w:noWrap/>
            <w:vAlign w:val="center"/>
            <w:hideMark/>
          </w:tcPr>
          <w:p w:rsidR="003B222F" w:rsidRPr="005B574C" w:rsidRDefault="003B222F"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年末结转和结余</w:t>
            </w:r>
          </w:p>
        </w:tc>
        <w:tc>
          <w:tcPr>
            <w:tcW w:w="729" w:type="pct"/>
            <w:tcBorders>
              <w:top w:val="nil"/>
              <w:left w:val="nil"/>
              <w:bottom w:val="single" w:sz="4" w:space="0" w:color="auto"/>
              <w:right w:val="single" w:sz="4" w:space="0" w:color="auto"/>
            </w:tcBorders>
            <w:shd w:val="clear" w:color="auto" w:fill="auto"/>
            <w:noWrap/>
            <w:vAlign w:val="center"/>
            <w:hideMark/>
          </w:tcPr>
          <w:p w:rsidR="003B222F" w:rsidRPr="005B574C" w:rsidRDefault="00E22D00"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16</w:t>
            </w:r>
            <w:r w:rsidRPr="005B574C">
              <w:rPr>
                <w:rFonts w:asciiTheme="minorEastAsia" w:hAnsiTheme="minorEastAsia" w:cs="Arial" w:hint="eastAsia"/>
                <w:color w:val="000000"/>
                <w:kern w:val="0"/>
                <w:sz w:val="24"/>
                <w:szCs w:val="24"/>
              </w:rPr>
              <w:t>,</w:t>
            </w:r>
            <w:r w:rsidRPr="005B574C">
              <w:rPr>
                <w:rFonts w:asciiTheme="minorEastAsia" w:hAnsiTheme="minorEastAsia" w:cs="Arial"/>
                <w:color w:val="000000"/>
                <w:kern w:val="0"/>
                <w:sz w:val="24"/>
                <w:szCs w:val="24"/>
              </w:rPr>
              <w:t>962.4</w:t>
            </w:r>
            <w:r w:rsidR="003B222F"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righ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3B222F">
            <w:pPr>
              <w:widowControl/>
              <w:jc w:val="left"/>
              <w:rPr>
                <w:rFonts w:asciiTheme="minorEastAsia" w:hAnsiTheme="minorEastAsia" w:cs="Arial"/>
                <w:color w:val="000000"/>
                <w:kern w:val="0"/>
                <w:sz w:val="24"/>
                <w:szCs w:val="24"/>
              </w:rPr>
            </w:pPr>
            <w:r w:rsidRPr="005B574C">
              <w:rPr>
                <w:rFonts w:asciiTheme="minorEastAsia" w:hAnsiTheme="minorEastAsia" w:cs="Arial" w:hint="eastAsia"/>
                <w:color w:val="000000"/>
                <w:kern w:val="0"/>
                <w:sz w:val="24"/>
                <w:szCs w:val="24"/>
              </w:rPr>
              <w:t xml:space="preserve">　</w:t>
            </w:r>
            <w:r w:rsidR="003B222F" w:rsidRPr="005B574C">
              <w:rPr>
                <w:rFonts w:asciiTheme="minorEastAsia" w:hAnsiTheme="minorEastAsia" w:cs="Arial" w:hint="eastAsia"/>
                <w:color w:val="000000"/>
                <w:kern w:val="0"/>
                <w:sz w:val="24"/>
                <w:szCs w:val="24"/>
              </w:rPr>
              <w:t xml:space="preserve">  其中：项目支出结转和结余</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E22D00"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16</w:t>
            </w:r>
            <w:r w:rsidRPr="005B574C">
              <w:rPr>
                <w:rFonts w:asciiTheme="minorEastAsia" w:hAnsiTheme="minorEastAsia" w:cs="Arial" w:hint="eastAsia"/>
                <w:color w:val="000000"/>
                <w:kern w:val="0"/>
                <w:sz w:val="24"/>
                <w:szCs w:val="24"/>
              </w:rPr>
              <w:t>,</w:t>
            </w:r>
            <w:r w:rsidRPr="005B574C">
              <w:rPr>
                <w:rFonts w:asciiTheme="minorEastAsia" w:hAnsiTheme="minorEastAsia" w:cs="Arial"/>
                <w:color w:val="000000"/>
                <w:kern w:val="0"/>
                <w:sz w:val="24"/>
                <w:szCs w:val="24"/>
              </w:rPr>
              <w:t>962.4</w:t>
            </w:r>
            <w:r w:rsidR="00A103EE" w:rsidRPr="005B574C">
              <w:rPr>
                <w:rFonts w:asciiTheme="minorEastAsia" w:hAnsiTheme="minorEastAsia" w:cs="Arial" w:hint="eastAsia"/>
                <w:color w:val="000000"/>
                <w:kern w:val="0"/>
                <w:sz w:val="24"/>
                <w:szCs w:val="24"/>
              </w:rPr>
              <w:t xml:space="preserve">　</w:t>
            </w:r>
          </w:p>
        </w:tc>
      </w:tr>
      <w:tr w:rsidR="00A103EE" w:rsidRPr="00A103EE" w:rsidTr="0085181F">
        <w:trPr>
          <w:trHeight w:val="270"/>
          <w:jc w:val="center"/>
        </w:trPr>
        <w:tc>
          <w:tcPr>
            <w:tcW w:w="1771" w:type="pct"/>
            <w:tcBorders>
              <w:top w:val="nil"/>
              <w:left w:val="single" w:sz="4" w:space="0" w:color="auto"/>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合计</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3B222F"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121,741.17</w:t>
            </w:r>
            <w:r w:rsidR="00A103EE" w:rsidRPr="005B574C">
              <w:rPr>
                <w:rFonts w:asciiTheme="minorEastAsia" w:hAnsiTheme="minorEastAsia" w:cs="Arial" w:hint="eastAsia"/>
                <w:color w:val="000000"/>
                <w:kern w:val="0"/>
                <w:sz w:val="24"/>
                <w:szCs w:val="24"/>
              </w:rPr>
              <w:t xml:space="preserve">　</w:t>
            </w:r>
          </w:p>
        </w:tc>
        <w:tc>
          <w:tcPr>
            <w:tcW w:w="1771" w:type="pct"/>
            <w:tcBorders>
              <w:top w:val="nil"/>
              <w:left w:val="nil"/>
              <w:bottom w:val="single" w:sz="4" w:space="0" w:color="auto"/>
              <w:right w:val="single" w:sz="4" w:space="0" w:color="auto"/>
            </w:tcBorders>
            <w:shd w:val="clear" w:color="auto" w:fill="auto"/>
            <w:noWrap/>
            <w:vAlign w:val="center"/>
            <w:hideMark/>
          </w:tcPr>
          <w:p w:rsidR="00A103EE" w:rsidRPr="005B574C" w:rsidRDefault="00A103EE" w:rsidP="00A103EE">
            <w:pPr>
              <w:widowControl/>
              <w:jc w:val="center"/>
              <w:rPr>
                <w:rFonts w:asciiTheme="minorEastAsia" w:hAnsiTheme="minorEastAsia" w:cs="Arial"/>
                <w:b/>
                <w:bCs/>
                <w:color w:val="000000"/>
                <w:kern w:val="0"/>
                <w:sz w:val="24"/>
                <w:szCs w:val="24"/>
              </w:rPr>
            </w:pPr>
            <w:r w:rsidRPr="005B574C">
              <w:rPr>
                <w:rFonts w:asciiTheme="minorEastAsia" w:hAnsiTheme="minorEastAsia" w:cs="Arial" w:hint="eastAsia"/>
                <w:b/>
                <w:bCs/>
                <w:color w:val="000000"/>
                <w:kern w:val="0"/>
                <w:sz w:val="24"/>
                <w:szCs w:val="24"/>
              </w:rPr>
              <w:t>合计</w:t>
            </w:r>
          </w:p>
        </w:tc>
        <w:tc>
          <w:tcPr>
            <w:tcW w:w="729" w:type="pct"/>
            <w:tcBorders>
              <w:top w:val="nil"/>
              <w:left w:val="nil"/>
              <w:bottom w:val="single" w:sz="4" w:space="0" w:color="auto"/>
              <w:right w:val="single" w:sz="4" w:space="0" w:color="auto"/>
            </w:tcBorders>
            <w:shd w:val="clear" w:color="auto" w:fill="auto"/>
            <w:noWrap/>
            <w:vAlign w:val="center"/>
            <w:hideMark/>
          </w:tcPr>
          <w:p w:rsidR="00A103EE" w:rsidRPr="005B574C" w:rsidRDefault="00E22D00" w:rsidP="00A103EE">
            <w:pPr>
              <w:widowControl/>
              <w:jc w:val="right"/>
              <w:rPr>
                <w:rFonts w:asciiTheme="minorEastAsia" w:hAnsiTheme="minorEastAsia" w:cs="Arial"/>
                <w:color w:val="000000"/>
                <w:kern w:val="0"/>
                <w:sz w:val="24"/>
                <w:szCs w:val="24"/>
              </w:rPr>
            </w:pPr>
            <w:r w:rsidRPr="005B574C">
              <w:rPr>
                <w:rFonts w:asciiTheme="minorEastAsia" w:hAnsiTheme="minorEastAsia" w:cs="Arial"/>
                <w:color w:val="000000"/>
                <w:kern w:val="0"/>
                <w:sz w:val="24"/>
                <w:szCs w:val="24"/>
              </w:rPr>
              <w:t>121</w:t>
            </w:r>
            <w:r w:rsidRPr="005B574C">
              <w:rPr>
                <w:rFonts w:asciiTheme="minorEastAsia" w:hAnsiTheme="minorEastAsia" w:cs="Arial" w:hint="eastAsia"/>
                <w:color w:val="000000"/>
                <w:kern w:val="0"/>
                <w:sz w:val="24"/>
                <w:szCs w:val="24"/>
              </w:rPr>
              <w:t>,</w:t>
            </w:r>
            <w:r w:rsidRPr="005B574C">
              <w:rPr>
                <w:rFonts w:asciiTheme="minorEastAsia" w:hAnsiTheme="minorEastAsia" w:cs="Arial"/>
                <w:color w:val="000000"/>
                <w:kern w:val="0"/>
                <w:sz w:val="24"/>
                <w:szCs w:val="24"/>
              </w:rPr>
              <w:t>741.17</w:t>
            </w:r>
            <w:r w:rsidR="00A103EE" w:rsidRPr="005B574C">
              <w:rPr>
                <w:rFonts w:asciiTheme="minorEastAsia" w:hAnsiTheme="minorEastAsia" w:cs="Arial" w:hint="eastAsia"/>
                <w:color w:val="000000"/>
                <w:kern w:val="0"/>
                <w:sz w:val="24"/>
                <w:szCs w:val="24"/>
              </w:rPr>
              <w:t xml:space="preserve">　</w:t>
            </w:r>
          </w:p>
        </w:tc>
      </w:tr>
      <w:tr w:rsidR="00A103EE" w:rsidRPr="00A103EE" w:rsidTr="0085181F">
        <w:trPr>
          <w:trHeight w:val="255"/>
          <w:jc w:val="center"/>
        </w:trPr>
        <w:tc>
          <w:tcPr>
            <w:tcW w:w="1771" w:type="pct"/>
            <w:tcBorders>
              <w:top w:val="nil"/>
              <w:left w:val="nil"/>
              <w:bottom w:val="nil"/>
              <w:right w:val="nil"/>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p>
        </w:tc>
        <w:tc>
          <w:tcPr>
            <w:tcW w:w="729" w:type="pct"/>
            <w:tcBorders>
              <w:top w:val="nil"/>
              <w:left w:val="nil"/>
              <w:bottom w:val="nil"/>
              <w:right w:val="nil"/>
            </w:tcBorders>
            <w:shd w:val="clear" w:color="auto" w:fill="auto"/>
            <w:noWrap/>
            <w:vAlign w:val="center"/>
            <w:hideMark/>
          </w:tcPr>
          <w:p w:rsidR="00A103EE" w:rsidRPr="005B574C" w:rsidRDefault="00A103EE" w:rsidP="00A103EE">
            <w:pPr>
              <w:widowControl/>
              <w:jc w:val="left"/>
              <w:rPr>
                <w:rFonts w:asciiTheme="minorEastAsia" w:hAnsiTheme="minorEastAsia" w:cs="Arial"/>
                <w:color w:val="000000"/>
                <w:kern w:val="0"/>
                <w:sz w:val="24"/>
                <w:szCs w:val="24"/>
              </w:rPr>
            </w:pPr>
          </w:p>
        </w:tc>
        <w:tc>
          <w:tcPr>
            <w:tcW w:w="1771" w:type="pct"/>
            <w:tcBorders>
              <w:top w:val="nil"/>
              <w:left w:val="nil"/>
              <w:bottom w:val="nil"/>
              <w:right w:val="nil"/>
            </w:tcBorders>
            <w:shd w:val="clear" w:color="auto" w:fill="auto"/>
            <w:noWrap/>
            <w:vAlign w:val="bottom"/>
            <w:hideMark/>
          </w:tcPr>
          <w:p w:rsidR="00A103EE" w:rsidRPr="005B574C" w:rsidRDefault="00A103EE" w:rsidP="00A103EE">
            <w:pPr>
              <w:widowControl/>
              <w:jc w:val="left"/>
              <w:rPr>
                <w:rFonts w:asciiTheme="minorEastAsia" w:hAnsiTheme="minorEastAsia" w:cs="Arial"/>
                <w:color w:val="000000"/>
                <w:kern w:val="0"/>
                <w:sz w:val="24"/>
                <w:szCs w:val="24"/>
              </w:rPr>
            </w:pPr>
          </w:p>
        </w:tc>
        <w:tc>
          <w:tcPr>
            <w:tcW w:w="729" w:type="pct"/>
            <w:tcBorders>
              <w:top w:val="nil"/>
              <w:left w:val="nil"/>
              <w:bottom w:val="nil"/>
              <w:right w:val="nil"/>
            </w:tcBorders>
            <w:shd w:val="clear" w:color="auto" w:fill="auto"/>
            <w:noWrap/>
            <w:vAlign w:val="bottom"/>
            <w:hideMark/>
          </w:tcPr>
          <w:p w:rsidR="00A103EE" w:rsidRPr="005B574C" w:rsidRDefault="00A103EE" w:rsidP="00A103EE">
            <w:pPr>
              <w:widowControl/>
              <w:jc w:val="left"/>
              <w:rPr>
                <w:rFonts w:asciiTheme="minorEastAsia" w:hAnsiTheme="minorEastAsia" w:cs="Arial"/>
                <w:color w:val="000000"/>
                <w:kern w:val="0"/>
                <w:sz w:val="24"/>
                <w:szCs w:val="24"/>
              </w:rPr>
            </w:pPr>
          </w:p>
        </w:tc>
      </w:tr>
    </w:tbl>
    <w:p w:rsidR="00A103EE" w:rsidRDefault="00A103EE">
      <w:pPr>
        <w:widowControl/>
        <w:jc w:val="left"/>
        <w:rPr>
          <w:rFonts w:ascii="黑体" w:eastAsia="黑体" w:hAnsi="黑体"/>
          <w:sz w:val="32"/>
          <w:szCs w:val="32"/>
        </w:rPr>
      </w:pPr>
    </w:p>
    <w:tbl>
      <w:tblPr>
        <w:tblW w:w="14447" w:type="dxa"/>
        <w:jc w:val="right"/>
        <w:tblInd w:w="-273" w:type="dxa"/>
        <w:tblLook w:val="04A0" w:firstRow="1" w:lastRow="0" w:firstColumn="1" w:lastColumn="0" w:noHBand="0" w:noVBand="1"/>
      </w:tblPr>
      <w:tblGrid>
        <w:gridCol w:w="14447"/>
      </w:tblGrid>
      <w:tr w:rsidR="00A103EE" w:rsidRPr="00A103EE" w:rsidTr="004D0E0D">
        <w:trPr>
          <w:trHeight w:val="600"/>
          <w:jc w:val="right"/>
        </w:trPr>
        <w:tc>
          <w:tcPr>
            <w:tcW w:w="14438" w:type="dxa"/>
            <w:tcBorders>
              <w:top w:val="nil"/>
              <w:left w:val="nil"/>
              <w:bottom w:val="nil"/>
              <w:right w:val="nil"/>
            </w:tcBorders>
            <w:shd w:val="clear" w:color="auto" w:fill="auto"/>
            <w:noWrap/>
            <w:vAlign w:val="center"/>
            <w:hideMark/>
          </w:tcPr>
          <w:p w:rsidR="005B574C" w:rsidRDefault="005B574C"/>
          <w:p w:rsidR="005B574C" w:rsidRDefault="005B574C"/>
          <w:p w:rsidR="005B574C" w:rsidRDefault="005B574C"/>
          <w:p w:rsidR="005B574C" w:rsidRDefault="005B574C"/>
          <w:p w:rsidR="005B574C" w:rsidRDefault="005B574C"/>
          <w:p w:rsidR="005B574C" w:rsidRDefault="005B574C"/>
          <w:tbl>
            <w:tblPr>
              <w:tblW w:w="5000" w:type="pct"/>
              <w:tblLook w:val="04A0" w:firstRow="1" w:lastRow="0" w:firstColumn="1" w:lastColumn="0" w:noHBand="0" w:noVBand="1"/>
            </w:tblPr>
            <w:tblGrid>
              <w:gridCol w:w="437"/>
              <w:gridCol w:w="437"/>
              <w:gridCol w:w="437"/>
              <w:gridCol w:w="2794"/>
              <w:gridCol w:w="1559"/>
              <w:gridCol w:w="1843"/>
              <w:gridCol w:w="1132"/>
              <w:gridCol w:w="1559"/>
              <w:gridCol w:w="1284"/>
              <w:gridCol w:w="1141"/>
              <w:gridCol w:w="1608"/>
            </w:tblGrid>
            <w:tr w:rsidR="00C61169" w:rsidRPr="00C61169" w:rsidTr="0085181F">
              <w:trPr>
                <w:trHeight w:val="420"/>
              </w:trPr>
              <w:tc>
                <w:tcPr>
                  <w:tcW w:w="5000" w:type="pct"/>
                  <w:gridSpan w:val="11"/>
                  <w:tcBorders>
                    <w:top w:val="nil"/>
                    <w:left w:val="nil"/>
                    <w:bottom w:val="nil"/>
                    <w:right w:val="nil"/>
                  </w:tcBorders>
                  <w:shd w:val="clear" w:color="auto" w:fill="auto"/>
                  <w:noWrap/>
                  <w:vAlign w:val="bottom"/>
                  <w:hideMark/>
                </w:tcPr>
                <w:p w:rsidR="00C61169" w:rsidRPr="00F006E5" w:rsidRDefault="00C61169" w:rsidP="004729BF">
                  <w:pPr>
                    <w:pStyle w:val="2"/>
                    <w:jc w:val="center"/>
                    <w:rPr>
                      <w:rFonts w:asciiTheme="minorEastAsia" w:hAnsiTheme="minorEastAsia" w:cs="Arial"/>
                      <w:b w:val="0"/>
                      <w:bCs w:val="0"/>
                      <w:color w:val="000000"/>
                      <w:kern w:val="0"/>
                    </w:rPr>
                  </w:pPr>
                  <w:bookmarkStart w:id="5" w:name="_Toc488246750"/>
                  <w:r w:rsidRPr="004729BF">
                    <w:rPr>
                      <w:rFonts w:hint="eastAsia"/>
                    </w:rPr>
                    <w:lastRenderedPageBreak/>
                    <w:t>表</w:t>
                  </w:r>
                  <w:r w:rsidRPr="004729BF">
                    <w:t>2</w:t>
                  </w:r>
                  <w:r w:rsidRPr="004729BF">
                    <w:rPr>
                      <w:rFonts w:hint="eastAsia"/>
                    </w:rPr>
                    <w:t>：高等学校收入决算表</w:t>
                  </w:r>
                  <w:bookmarkEnd w:id="5"/>
                </w:p>
                <w:p w:rsidR="00F006E5" w:rsidRPr="00C61169" w:rsidRDefault="00F006E5" w:rsidP="00F006E5">
                  <w:pPr>
                    <w:widowControl/>
                    <w:rPr>
                      <w:rFonts w:asciiTheme="minorEastAsia" w:hAnsiTheme="minorEastAsia" w:cs="Arial"/>
                      <w:bCs/>
                      <w:color w:val="000000"/>
                      <w:kern w:val="0"/>
                      <w:sz w:val="24"/>
                      <w:szCs w:val="24"/>
                    </w:rPr>
                  </w:pPr>
                  <w:r w:rsidRPr="00F006E5">
                    <w:rPr>
                      <w:rFonts w:asciiTheme="minorEastAsia" w:hAnsiTheme="minorEastAsia" w:cs="Arial" w:hint="eastAsia"/>
                      <w:bCs/>
                      <w:color w:val="000000"/>
                      <w:kern w:val="0"/>
                      <w:sz w:val="24"/>
                      <w:szCs w:val="24"/>
                    </w:rPr>
                    <w:t>单位：中国政法大学</w:t>
                  </w:r>
                  <w:r w:rsidR="00C4211D">
                    <w:rPr>
                      <w:rFonts w:asciiTheme="minorEastAsia" w:hAnsiTheme="minorEastAsia" w:cs="Arial" w:hint="eastAsia"/>
                      <w:bCs/>
                      <w:color w:val="000000"/>
                      <w:kern w:val="0"/>
                      <w:sz w:val="24"/>
                      <w:szCs w:val="24"/>
                    </w:rPr>
                    <w:t xml:space="preserve">                                                                                    金额单位：万元</w:t>
                  </w:r>
                </w:p>
              </w:tc>
            </w:tr>
            <w:tr w:rsidR="00F006E5" w:rsidRPr="00C61169" w:rsidTr="0085181F">
              <w:trPr>
                <w:trHeight w:val="1062"/>
              </w:trPr>
              <w:tc>
                <w:tcPr>
                  <w:tcW w:w="4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科目编码</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科目名称</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本年收入合计</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财政拨款收入</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上级补助收入</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事业收入</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经营收入</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附属单位上缴收入</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其他收入</w:t>
                  </w:r>
                </w:p>
              </w:tc>
            </w:tr>
            <w:tr w:rsidR="00F006E5" w:rsidRPr="00C61169" w:rsidTr="0085181F">
              <w:trPr>
                <w:trHeight w:val="308"/>
              </w:trPr>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类</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款</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项</w:t>
                  </w:r>
                </w:p>
              </w:tc>
              <w:tc>
                <w:tcPr>
                  <w:tcW w:w="982" w:type="pct"/>
                  <w:tcBorders>
                    <w:top w:val="nil"/>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栏次</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1</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2</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3</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4</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5</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6</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7</w:t>
                  </w:r>
                </w:p>
              </w:tc>
            </w:tr>
            <w:tr w:rsidR="00F006E5" w:rsidRPr="00C61169" w:rsidTr="0085181F">
              <w:trPr>
                <w:trHeight w:val="308"/>
              </w:trPr>
              <w:tc>
                <w:tcPr>
                  <w:tcW w:w="153" w:type="pct"/>
                  <w:vMerge/>
                  <w:tcBorders>
                    <w:top w:val="nil"/>
                    <w:left w:val="single" w:sz="4" w:space="0" w:color="auto"/>
                    <w:bottom w:val="single" w:sz="4" w:space="0" w:color="auto"/>
                    <w:right w:val="single" w:sz="4" w:space="0" w:color="auto"/>
                  </w:tcBorders>
                  <w:vAlign w:val="center"/>
                  <w:hideMark/>
                </w:tcPr>
                <w:p w:rsidR="00C61169" w:rsidRPr="0087446F" w:rsidRDefault="00C61169" w:rsidP="00C61169">
                  <w:pPr>
                    <w:widowControl/>
                    <w:jc w:val="left"/>
                    <w:rPr>
                      <w:rFonts w:asciiTheme="minorEastAsia" w:hAnsiTheme="minorEastAsia" w:cs="Arial"/>
                      <w:color w:val="000000"/>
                      <w:kern w:val="0"/>
                      <w:sz w:val="22"/>
                    </w:rPr>
                  </w:pPr>
                </w:p>
              </w:tc>
              <w:tc>
                <w:tcPr>
                  <w:tcW w:w="153" w:type="pct"/>
                  <w:vMerge/>
                  <w:tcBorders>
                    <w:top w:val="nil"/>
                    <w:left w:val="single" w:sz="4" w:space="0" w:color="auto"/>
                    <w:bottom w:val="single" w:sz="4" w:space="0" w:color="auto"/>
                    <w:right w:val="single" w:sz="4" w:space="0" w:color="auto"/>
                  </w:tcBorders>
                  <w:vAlign w:val="center"/>
                  <w:hideMark/>
                </w:tcPr>
                <w:p w:rsidR="00C61169" w:rsidRPr="0087446F" w:rsidRDefault="00C61169" w:rsidP="00C61169">
                  <w:pPr>
                    <w:widowControl/>
                    <w:jc w:val="left"/>
                    <w:rPr>
                      <w:rFonts w:asciiTheme="minorEastAsia" w:hAnsiTheme="minorEastAsia" w:cs="Arial"/>
                      <w:color w:val="000000"/>
                      <w:kern w:val="0"/>
                      <w:sz w:val="22"/>
                    </w:rPr>
                  </w:pPr>
                </w:p>
              </w:tc>
              <w:tc>
                <w:tcPr>
                  <w:tcW w:w="153" w:type="pct"/>
                  <w:vMerge/>
                  <w:tcBorders>
                    <w:top w:val="nil"/>
                    <w:left w:val="single" w:sz="4" w:space="0" w:color="auto"/>
                    <w:bottom w:val="single" w:sz="4" w:space="0" w:color="auto"/>
                    <w:right w:val="single" w:sz="4" w:space="0" w:color="auto"/>
                  </w:tcBorders>
                  <w:vAlign w:val="center"/>
                  <w:hideMark/>
                </w:tcPr>
                <w:p w:rsidR="00C61169" w:rsidRPr="0087446F" w:rsidRDefault="00C61169" w:rsidP="00C61169">
                  <w:pPr>
                    <w:widowControl/>
                    <w:jc w:val="left"/>
                    <w:rPr>
                      <w:rFonts w:asciiTheme="minorEastAsia" w:hAnsiTheme="minorEastAsia" w:cs="Arial"/>
                      <w:color w:val="000000"/>
                      <w:kern w:val="0"/>
                      <w:sz w:val="22"/>
                    </w:rPr>
                  </w:pPr>
                </w:p>
              </w:tc>
              <w:tc>
                <w:tcPr>
                  <w:tcW w:w="982" w:type="pct"/>
                  <w:tcBorders>
                    <w:top w:val="nil"/>
                    <w:left w:val="nil"/>
                    <w:bottom w:val="single" w:sz="4" w:space="0" w:color="auto"/>
                    <w:right w:val="single" w:sz="4" w:space="0" w:color="auto"/>
                  </w:tcBorders>
                  <w:shd w:val="clear" w:color="auto" w:fill="auto"/>
                  <w:vAlign w:val="center"/>
                  <w:hideMark/>
                </w:tcPr>
                <w:p w:rsidR="00C61169" w:rsidRPr="0087446F" w:rsidRDefault="00C61169" w:rsidP="00C61169">
                  <w:pPr>
                    <w:widowControl/>
                    <w:jc w:val="center"/>
                    <w:rPr>
                      <w:rFonts w:asciiTheme="minorEastAsia" w:hAnsiTheme="minorEastAsia" w:cs="Arial"/>
                      <w:color w:val="000000"/>
                      <w:kern w:val="0"/>
                      <w:sz w:val="22"/>
                    </w:rPr>
                  </w:pPr>
                  <w:r w:rsidRPr="0087446F">
                    <w:rPr>
                      <w:rFonts w:asciiTheme="minorEastAsia" w:hAnsiTheme="minorEastAsia" w:cs="Arial" w:hint="eastAsia"/>
                      <w:color w:val="000000"/>
                      <w:kern w:val="0"/>
                      <w:sz w:val="22"/>
                    </w:rPr>
                    <w:t>合计</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108,651.54</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67,533.17</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29,461.16</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866.58</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10,790.63</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201</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一般公共服务支出</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15.72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15.72</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20110</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人力资源事务</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15.72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15.72</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2011004</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政府特殊津贴</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15.72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15.72</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教育支出</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104,006.79</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63,795.85</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29,461.16</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864.29</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9,885.48</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20501</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教育管理事务</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5.17</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5.17</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2050102</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一般行政管理事务</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5.17</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5.17</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20502</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普通教育</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102,840.44</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62,676.50</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29,461.16</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864.29</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9,838.48</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2050205</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高等教育</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102,840.44</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62,676.50</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29,461.16</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864.29</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9,838.48</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20506</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留学教育</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802.25</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802.25</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2050602</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来华留学教育</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802.25</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802.25</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20599</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其他教育支出</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358.94</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311.94</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47.00</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2059999</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其他教育支出</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358.94</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311.94</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47.00</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221</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住房保障支出</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4,629.03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3,737.32</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2.29</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889.42</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22102</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住房改革支出</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4,629.03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3,737.32</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2.29</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889.42</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2210201</w:t>
                  </w:r>
                </w:p>
              </w:tc>
              <w:tc>
                <w:tcPr>
                  <w:tcW w:w="982"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住房公积金</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2,500.88</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1,617.00</w:t>
                  </w:r>
                </w:p>
              </w:tc>
              <w:tc>
                <w:tcPr>
                  <w:tcW w:w="39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883.88</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lastRenderedPageBreak/>
                    <w:t>2210202</w:t>
                  </w:r>
                </w:p>
              </w:tc>
              <w:tc>
                <w:tcPr>
                  <w:tcW w:w="9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提租补贴</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327.83</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320.00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2.29</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5.55</w:t>
                  </w:r>
                </w:p>
              </w:tc>
            </w:tr>
            <w:tr w:rsidR="00F006E5" w:rsidRPr="00C61169" w:rsidTr="0085181F">
              <w:trPr>
                <w:trHeight w:val="308"/>
              </w:trPr>
              <w:tc>
                <w:tcPr>
                  <w:tcW w:w="4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2210203</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lef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购房补贴</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1,800.32</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1,800.32</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C61169" w:rsidRPr="0087446F" w:rsidRDefault="00C61169" w:rsidP="00C61169">
                  <w:pPr>
                    <w:widowControl/>
                    <w:jc w:val="right"/>
                    <w:rPr>
                      <w:rFonts w:asciiTheme="minorEastAsia" w:hAnsiTheme="minorEastAsia" w:cs="Arial"/>
                      <w:color w:val="000000"/>
                      <w:kern w:val="0"/>
                      <w:sz w:val="22"/>
                    </w:rPr>
                  </w:pPr>
                  <w:r w:rsidRPr="0087446F">
                    <w:rPr>
                      <w:rFonts w:asciiTheme="minorEastAsia" w:hAnsiTheme="minorEastAsia" w:cs="Arial" w:hint="eastAsia"/>
                      <w:color w:val="000000"/>
                      <w:kern w:val="0"/>
                      <w:sz w:val="22"/>
                    </w:rPr>
                    <w:t xml:space="preserve">　</w:t>
                  </w:r>
                </w:p>
              </w:tc>
            </w:tr>
          </w:tbl>
          <w:p w:rsidR="00A103EE" w:rsidRPr="00353AAF" w:rsidRDefault="00A103EE" w:rsidP="008413A7">
            <w:pPr>
              <w:pStyle w:val="2"/>
              <w:jc w:val="center"/>
            </w:pPr>
          </w:p>
        </w:tc>
      </w:tr>
      <w:tr w:rsidR="00DC057A" w:rsidRPr="00DC057A" w:rsidTr="004D0E0D">
        <w:trPr>
          <w:trHeight w:val="600"/>
          <w:jc w:val="right"/>
        </w:trPr>
        <w:tc>
          <w:tcPr>
            <w:tcW w:w="14447" w:type="dxa"/>
            <w:tcBorders>
              <w:top w:val="nil"/>
              <w:left w:val="nil"/>
              <w:bottom w:val="nil"/>
              <w:right w:val="nil"/>
            </w:tcBorders>
            <w:shd w:val="clear" w:color="auto" w:fill="auto"/>
            <w:noWrap/>
            <w:vAlign w:val="center"/>
            <w:hideMark/>
          </w:tcPr>
          <w:p w:rsidR="004D0E0D" w:rsidRDefault="004D0E0D"/>
          <w:tbl>
            <w:tblPr>
              <w:tblW w:w="5000" w:type="pct"/>
              <w:tblLook w:val="04A0" w:firstRow="1" w:lastRow="0" w:firstColumn="1" w:lastColumn="0" w:noHBand="0" w:noVBand="1"/>
            </w:tblPr>
            <w:tblGrid>
              <w:gridCol w:w="436"/>
              <w:gridCol w:w="436"/>
              <w:gridCol w:w="440"/>
              <w:gridCol w:w="2510"/>
              <w:gridCol w:w="2410"/>
              <w:gridCol w:w="1844"/>
              <w:gridCol w:w="1702"/>
              <w:gridCol w:w="1417"/>
              <w:gridCol w:w="1423"/>
              <w:gridCol w:w="1613"/>
            </w:tblGrid>
            <w:tr w:rsidR="00C61169" w:rsidRPr="00C61169" w:rsidTr="0085181F">
              <w:trPr>
                <w:trHeight w:val="570"/>
              </w:trPr>
              <w:tc>
                <w:tcPr>
                  <w:tcW w:w="5000" w:type="pct"/>
                  <w:gridSpan w:val="10"/>
                  <w:tcBorders>
                    <w:top w:val="nil"/>
                    <w:left w:val="nil"/>
                    <w:bottom w:val="single" w:sz="4" w:space="0" w:color="auto"/>
                    <w:right w:val="nil"/>
                  </w:tcBorders>
                  <w:shd w:val="clear" w:color="auto" w:fill="auto"/>
                  <w:noWrap/>
                  <w:vAlign w:val="bottom"/>
                  <w:hideMark/>
                </w:tcPr>
                <w:p w:rsidR="00C61169" w:rsidRDefault="00C61169" w:rsidP="004729BF">
                  <w:pPr>
                    <w:pStyle w:val="2"/>
                    <w:jc w:val="center"/>
                  </w:pPr>
                  <w:bookmarkStart w:id="6" w:name="_Toc488246751"/>
                  <w:r w:rsidRPr="004729BF">
                    <w:rPr>
                      <w:rFonts w:hint="eastAsia"/>
                    </w:rPr>
                    <w:t>表</w:t>
                  </w:r>
                  <w:r w:rsidRPr="004729BF">
                    <w:rPr>
                      <w:rFonts w:hint="eastAsia"/>
                    </w:rPr>
                    <w:t>3</w:t>
                  </w:r>
                  <w:r w:rsidRPr="004729BF">
                    <w:rPr>
                      <w:rFonts w:hint="eastAsia"/>
                    </w:rPr>
                    <w:t>：高等学校支出决算表</w:t>
                  </w:r>
                  <w:bookmarkEnd w:id="6"/>
                </w:p>
                <w:p w:rsidR="004A1D33" w:rsidRPr="004A1D33" w:rsidRDefault="004A1D33" w:rsidP="004A1D33">
                  <w:r w:rsidRPr="0023181E">
                    <w:rPr>
                      <w:rFonts w:asciiTheme="minorEastAsia" w:hAnsiTheme="minorEastAsia" w:hint="eastAsia"/>
                      <w:sz w:val="24"/>
                      <w:szCs w:val="24"/>
                    </w:rPr>
                    <w:t>部门：</w:t>
                  </w:r>
                  <w:r>
                    <w:rPr>
                      <w:rFonts w:asciiTheme="minorEastAsia" w:hAnsiTheme="minorEastAsia" w:hint="eastAsia"/>
                      <w:sz w:val="24"/>
                      <w:szCs w:val="24"/>
                    </w:rPr>
                    <w:t>中国政法大学                                                                                     金额单位：万元</w:t>
                  </w:r>
                </w:p>
              </w:tc>
            </w:tr>
            <w:tr w:rsidR="00E329F9" w:rsidRPr="00C61169" w:rsidTr="0085181F">
              <w:trPr>
                <w:trHeight w:val="312"/>
              </w:trPr>
              <w:tc>
                <w:tcPr>
                  <w:tcW w:w="46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科目编码</w:t>
                  </w:r>
                </w:p>
              </w:tc>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科目名称</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本年支出合计</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基本支出</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项目支出</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上缴上级支出</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经营支出</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对附属单位补助支出</w:t>
                  </w:r>
                </w:p>
              </w:tc>
            </w:tr>
            <w:tr w:rsidR="00E329F9" w:rsidRPr="00C61169" w:rsidTr="0085181F">
              <w:trPr>
                <w:trHeight w:val="312"/>
              </w:trPr>
              <w:tc>
                <w:tcPr>
                  <w:tcW w:w="460" w:type="pct"/>
                  <w:gridSpan w:val="3"/>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r>
            <w:tr w:rsidR="00E329F9" w:rsidRPr="00C61169" w:rsidTr="0085181F">
              <w:trPr>
                <w:trHeight w:val="312"/>
              </w:trPr>
              <w:tc>
                <w:tcPr>
                  <w:tcW w:w="460" w:type="pct"/>
                  <w:gridSpan w:val="3"/>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C61169" w:rsidRPr="00C61169" w:rsidRDefault="00C61169" w:rsidP="00C61169">
                  <w:pPr>
                    <w:widowControl/>
                    <w:jc w:val="left"/>
                    <w:rPr>
                      <w:rFonts w:ascii="宋体" w:eastAsia="宋体" w:hAnsi="宋体" w:cs="Arial"/>
                      <w:color w:val="000000"/>
                      <w:kern w:val="0"/>
                      <w:sz w:val="22"/>
                    </w:rPr>
                  </w:pPr>
                </w:p>
              </w:tc>
            </w:tr>
            <w:tr w:rsidR="00E329F9" w:rsidRPr="00C61169" w:rsidTr="0085181F">
              <w:trPr>
                <w:trHeight w:val="308"/>
              </w:trPr>
              <w:tc>
                <w:tcPr>
                  <w:tcW w:w="153" w:type="pct"/>
                  <w:vMerge w:val="restart"/>
                  <w:tcBorders>
                    <w:top w:val="single" w:sz="4" w:space="0" w:color="auto"/>
                    <w:left w:val="single" w:sz="8" w:space="0" w:color="000000"/>
                    <w:bottom w:val="single" w:sz="4" w:space="0" w:color="000000"/>
                    <w:right w:val="single" w:sz="4" w:space="0" w:color="000000"/>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类</w:t>
                  </w:r>
                </w:p>
              </w:tc>
              <w:tc>
                <w:tcPr>
                  <w:tcW w:w="153" w:type="pct"/>
                  <w:vMerge w:val="restart"/>
                  <w:tcBorders>
                    <w:top w:val="single" w:sz="4" w:space="0" w:color="auto"/>
                    <w:left w:val="nil"/>
                    <w:bottom w:val="single" w:sz="4" w:space="0" w:color="000000"/>
                    <w:right w:val="single" w:sz="4" w:space="0" w:color="000000"/>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款</w:t>
                  </w:r>
                </w:p>
              </w:tc>
              <w:tc>
                <w:tcPr>
                  <w:tcW w:w="153" w:type="pct"/>
                  <w:vMerge w:val="restart"/>
                  <w:tcBorders>
                    <w:top w:val="single" w:sz="4" w:space="0" w:color="auto"/>
                    <w:left w:val="nil"/>
                    <w:bottom w:val="single" w:sz="4" w:space="0" w:color="000000"/>
                    <w:right w:val="single" w:sz="4" w:space="0" w:color="000000"/>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项</w:t>
                  </w:r>
                </w:p>
              </w:tc>
              <w:tc>
                <w:tcPr>
                  <w:tcW w:w="882" w:type="pct"/>
                  <w:tcBorders>
                    <w:top w:val="single" w:sz="4" w:space="0" w:color="auto"/>
                    <w:left w:val="nil"/>
                    <w:bottom w:val="single" w:sz="4" w:space="0" w:color="000000"/>
                    <w:right w:val="single" w:sz="4" w:space="0" w:color="000000"/>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栏次</w:t>
                  </w:r>
                </w:p>
              </w:tc>
              <w:tc>
                <w:tcPr>
                  <w:tcW w:w="847" w:type="pct"/>
                  <w:tcBorders>
                    <w:top w:val="single" w:sz="4" w:space="0" w:color="auto"/>
                    <w:left w:val="nil"/>
                    <w:bottom w:val="nil"/>
                    <w:right w:val="single" w:sz="4" w:space="0" w:color="000000"/>
                  </w:tcBorders>
                  <w:shd w:val="clear" w:color="auto" w:fill="auto"/>
                  <w:noWrap/>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1</w:t>
                  </w:r>
                </w:p>
              </w:tc>
              <w:tc>
                <w:tcPr>
                  <w:tcW w:w="648" w:type="pct"/>
                  <w:tcBorders>
                    <w:top w:val="single" w:sz="4" w:space="0" w:color="auto"/>
                    <w:left w:val="nil"/>
                    <w:bottom w:val="nil"/>
                    <w:right w:val="single" w:sz="4" w:space="0" w:color="000000"/>
                  </w:tcBorders>
                  <w:shd w:val="clear" w:color="auto" w:fill="auto"/>
                  <w:noWrap/>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2</w:t>
                  </w:r>
                </w:p>
              </w:tc>
              <w:tc>
                <w:tcPr>
                  <w:tcW w:w="598" w:type="pct"/>
                  <w:tcBorders>
                    <w:top w:val="single" w:sz="4" w:space="0" w:color="auto"/>
                    <w:left w:val="nil"/>
                    <w:bottom w:val="nil"/>
                    <w:right w:val="single" w:sz="4" w:space="0" w:color="000000"/>
                  </w:tcBorders>
                  <w:shd w:val="clear" w:color="auto" w:fill="auto"/>
                  <w:noWrap/>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3</w:t>
                  </w:r>
                </w:p>
              </w:tc>
              <w:tc>
                <w:tcPr>
                  <w:tcW w:w="498" w:type="pct"/>
                  <w:tcBorders>
                    <w:top w:val="single" w:sz="4" w:space="0" w:color="auto"/>
                    <w:left w:val="nil"/>
                    <w:bottom w:val="nil"/>
                    <w:right w:val="single" w:sz="4" w:space="0" w:color="000000"/>
                  </w:tcBorders>
                  <w:shd w:val="clear" w:color="auto" w:fill="auto"/>
                  <w:noWrap/>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4</w:t>
                  </w:r>
                </w:p>
              </w:tc>
              <w:tc>
                <w:tcPr>
                  <w:tcW w:w="500" w:type="pct"/>
                  <w:tcBorders>
                    <w:top w:val="single" w:sz="4" w:space="0" w:color="auto"/>
                    <w:left w:val="nil"/>
                    <w:bottom w:val="nil"/>
                    <w:right w:val="single" w:sz="4" w:space="0" w:color="000000"/>
                  </w:tcBorders>
                  <w:shd w:val="clear" w:color="auto" w:fill="auto"/>
                  <w:noWrap/>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5</w:t>
                  </w:r>
                </w:p>
              </w:tc>
              <w:tc>
                <w:tcPr>
                  <w:tcW w:w="570" w:type="pct"/>
                  <w:tcBorders>
                    <w:top w:val="single" w:sz="4" w:space="0" w:color="auto"/>
                    <w:left w:val="nil"/>
                    <w:bottom w:val="nil"/>
                    <w:right w:val="single" w:sz="4" w:space="0" w:color="000000"/>
                  </w:tcBorders>
                  <w:shd w:val="clear" w:color="auto" w:fill="auto"/>
                  <w:noWrap/>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6</w:t>
                  </w:r>
                </w:p>
              </w:tc>
            </w:tr>
            <w:tr w:rsidR="00E329F9" w:rsidRPr="00C61169" w:rsidTr="0085181F">
              <w:trPr>
                <w:trHeight w:val="308"/>
              </w:trPr>
              <w:tc>
                <w:tcPr>
                  <w:tcW w:w="153" w:type="pct"/>
                  <w:vMerge/>
                  <w:tcBorders>
                    <w:top w:val="nil"/>
                    <w:left w:val="single" w:sz="8" w:space="0" w:color="000000"/>
                    <w:bottom w:val="single" w:sz="4" w:space="0" w:color="000000"/>
                    <w:right w:val="single" w:sz="4" w:space="0" w:color="000000"/>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153" w:type="pct"/>
                  <w:vMerge/>
                  <w:tcBorders>
                    <w:top w:val="nil"/>
                    <w:left w:val="nil"/>
                    <w:bottom w:val="single" w:sz="4" w:space="0" w:color="000000"/>
                    <w:right w:val="single" w:sz="4" w:space="0" w:color="000000"/>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153" w:type="pct"/>
                  <w:vMerge/>
                  <w:tcBorders>
                    <w:top w:val="nil"/>
                    <w:left w:val="nil"/>
                    <w:bottom w:val="single" w:sz="4" w:space="0" w:color="000000"/>
                    <w:right w:val="single" w:sz="4" w:space="0" w:color="000000"/>
                  </w:tcBorders>
                  <w:vAlign w:val="center"/>
                  <w:hideMark/>
                </w:tcPr>
                <w:p w:rsidR="00C61169" w:rsidRPr="00C61169" w:rsidRDefault="00C61169" w:rsidP="00C61169">
                  <w:pPr>
                    <w:widowControl/>
                    <w:jc w:val="left"/>
                    <w:rPr>
                      <w:rFonts w:ascii="宋体" w:eastAsia="宋体" w:hAnsi="宋体" w:cs="Arial"/>
                      <w:color w:val="000000"/>
                      <w:kern w:val="0"/>
                      <w:sz w:val="22"/>
                    </w:rPr>
                  </w:pPr>
                </w:p>
              </w:tc>
              <w:tc>
                <w:tcPr>
                  <w:tcW w:w="882" w:type="pct"/>
                  <w:tcBorders>
                    <w:top w:val="nil"/>
                    <w:left w:val="nil"/>
                    <w:bottom w:val="nil"/>
                    <w:right w:val="nil"/>
                  </w:tcBorders>
                  <w:shd w:val="clear" w:color="auto" w:fill="auto"/>
                  <w:vAlign w:val="center"/>
                  <w:hideMark/>
                </w:tcPr>
                <w:p w:rsidR="00C61169" w:rsidRPr="00C61169" w:rsidRDefault="00C61169" w:rsidP="00C61169">
                  <w:pPr>
                    <w:widowControl/>
                    <w:jc w:val="center"/>
                    <w:rPr>
                      <w:rFonts w:ascii="宋体" w:eastAsia="宋体" w:hAnsi="宋体" w:cs="Arial"/>
                      <w:color w:val="000000"/>
                      <w:kern w:val="0"/>
                      <w:sz w:val="22"/>
                    </w:rPr>
                  </w:pPr>
                  <w:r w:rsidRPr="00C61169">
                    <w:rPr>
                      <w:rFonts w:ascii="宋体" w:eastAsia="宋体" w:hAnsi="宋体" w:cs="Arial" w:hint="eastAsia"/>
                      <w:color w:val="000000"/>
                      <w:kern w:val="0"/>
                      <w:sz w:val="22"/>
                    </w:rPr>
                    <w:t>合计</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104,696.17</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82,339.69</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21,520.31</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836.17</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201</w:t>
                  </w:r>
                </w:p>
              </w:tc>
              <w:tc>
                <w:tcPr>
                  <w:tcW w:w="882" w:type="pct"/>
                  <w:tcBorders>
                    <w:top w:val="single" w:sz="4" w:space="0" w:color="auto"/>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一般公共服务支出</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15.72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15.72</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20110</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人力资源事务</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15.72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15.72</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2011004</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政府特殊津贴</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15.72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15.72</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教育支出</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98,925.74</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77,712.95</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20,378.91</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833.88</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20501</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教育管理事务</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3.00</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3.00</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2050102</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一般行政管理事务</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3.00</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3.00</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20502</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普通教育</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97,916.23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77,665.95</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19,416.40</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833.88</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2050205</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高等教育</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97,916.23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77,665.95</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19,416.40</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833.88</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20506</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留学教育</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652.98</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652.98</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2050602</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来华留学教育</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652.98</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652.98</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20599</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其他教育支出</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353.53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47.00</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306.53</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2059999</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其他教育支出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353.53</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47.00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306.53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206</w:t>
                  </w:r>
                </w:p>
              </w:tc>
              <w:tc>
                <w:tcPr>
                  <w:tcW w:w="882" w:type="pct"/>
                  <w:tcBorders>
                    <w:top w:val="single" w:sz="4" w:space="0" w:color="auto"/>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科学技术支出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915.56</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915.56</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lastRenderedPageBreak/>
                    <w:t>20602</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基础研究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915.56</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915.56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2060299</w:t>
                  </w:r>
                </w:p>
              </w:tc>
              <w:tc>
                <w:tcPr>
                  <w:tcW w:w="882" w:type="pct"/>
                  <w:tcBorders>
                    <w:top w:val="single" w:sz="4" w:space="0" w:color="auto"/>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其他基础研究支出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915.56</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915.56</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211</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节能环保支出</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210.12</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210.12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21110</w:t>
                  </w:r>
                </w:p>
              </w:tc>
              <w:tc>
                <w:tcPr>
                  <w:tcW w:w="882" w:type="pct"/>
                  <w:tcBorders>
                    <w:top w:val="single" w:sz="4" w:space="0" w:color="auto"/>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能源节约利用</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210.12</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210.12</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2111001</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能源节约利用</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210.12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210.12</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221</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住房保障支出</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4,629.03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4,626.74</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2.29</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22102</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住房改革支出</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4,629.03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4,626.74</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2.29</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2210201</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住房公积金</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2,500.88</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2,500.88</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2210202</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提租补贴</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327.83</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325.55</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2.29</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r w:rsidR="00E329F9" w:rsidRPr="00C61169" w:rsidTr="0085181F">
              <w:trPr>
                <w:trHeight w:val="308"/>
              </w:trPr>
              <w:tc>
                <w:tcPr>
                  <w:tcW w:w="4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2210203</w:t>
                  </w:r>
                </w:p>
              </w:tc>
              <w:tc>
                <w:tcPr>
                  <w:tcW w:w="882" w:type="pct"/>
                  <w:tcBorders>
                    <w:top w:val="nil"/>
                    <w:left w:val="nil"/>
                    <w:bottom w:val="single" w:sz="4" w:space="0" w:color="auto"/>
                    <w:right w:val="nil"/>
                  </w:tcBorders>
                  <w:shd w:val="clear" w:color="auto" w:fill="auto"/>
                  <w:noWrap/>
                  <w:vAlign w:val="center"/>
                  <w:hideMark/>
                </w:tcPr>
                <w:p w:rsidR="00C61169" w:rsidRPr="00C61169" w:rsidRDefault="00C61169" w:rsidP="00C61169">
                  <w:pPr>
                    <w:widowControl/>
                    <w:jc w:val="lef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购房补贴</w:t>
                  </w:r>
                </w:p>
              </w:tc>
              <w:tc>
                <w:tcPr>
                  <w:tcW w:w="847" w:type="pct"/>
                  <w:tcBorders>
                    <w:top w:val="nil"/>
                    <w:left w:val="single" w:sz="4" w:space="0" w:color="auto"/>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1,800.32</w:t>
                  </w:r>
                </w:p>
              </w:tc>
              <w:tc>
                <w:tcPr>
                  <w:tcW w:w="64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1,800.32</w:t>
                  </w:r>
                </w:p>
              </w:tc>
              <w:tc>
                <w:tcPr>
                  <w:tcW w:w="5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c>
                <w:tcPr>
                  <w:tcW w:w="570" w:type="pct"/>
                  <w:tcBorders>
                    <w:top w:val="nil"/>
                    <w:left w:val="nil"/>
                    <w:bottom w:val="single" w:sz="4" w:space="0" w:color="auto"/>
                    <w:right w:val="single" w:sz="4" w:space="0" w:color="auto"/>
                  </w:tcBorders>
                  <w:shd w:val="clear" w:color="auto" w:fill="auto"/>
                  <w:noWrap/>
                  <w:vAlign w:val="center"/>
                  <w:hideMark/>
                </w:tcPr>
                <w:p w:rsidR="00C61169" w:rsidRPr="00C61169" w:rsidRDefault="00C61169" w:rsidP="00C61169">
                  <w:pPr>
                    <w:widowControl/>
                    <w:jc w:val="right"/>
                    <w:rPr>
                      <w:rFonts w:ascii="宋体" w:eastAsia="宋体" w:hAnsi="宋体" w:cs="Arial"/>
                      <w:color w:val="000000"/>
                      <w:kern w:val="0"/>
                      <w:sz w:val="22"/>
                    </w:rPr>
                  </w:pPr>
                  <w:r w:rsidRPr="00C61169">
                    <w:rPr>
                      <w:rFonts w:ascii="宋体" w:eastAsia="宋体" w:hAnsi="宋体" w:cs="Arial" w:hint="eastAsia"/>
                      <w:color w:val="000000"/>
                      <w:kern w:val="0"/>
                      <w:sz w:val="22"/>
                    </w:rPr>
                    <w:t xml:space="preserve">　</w:t>
                  </w:r>
                </w:p>
              </w:tc>
            </w:tr>
          </w:tbl>
          <w:p w:rsidR="00DC057A" w:rsidRPr="00353AAF" w:rsidRDefault="00DC057A" w:rsidP="004D0E0D">
            <w:pPr>
              <w:pStyle w:val="2"/>
            </w:pPr>
          </w:p>
        </w:tc>
      </w:tr>
    </w:tbl>
    <w:p w:rsidR="00A103EE" w:rsidRDefault="00A103E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黑体" w:eastAsia="黑体" w:hAnsi="黑体"/>
          <w:sz w:val="32"/>
          <w:szCs w:val="32"/>
        </w:rPr>
      </w:pPr>
    </w:p>
    <w:p w:rsidR="0023181E" w:rsidRDefault="0023181E">
      <w:pPr>
        <w:widowControl/>
        <w:jc w:val="left"/>
        <w:rPr>
          <w:rFonts w:asciiTheme="minorEastAsia" w:hAnsiTheme="minorEastAsia"/>
          <w:sz w:val="24"/>
          <w:szCs w:val="24"/>
        </w:rPr>
      </w:pPr>
    </w:p>
    <w:p w:rsidR="00010434" w:rsidRDefault="00010434" w:rsidP="005C2FBB">
      <w:pPr>
        <w:pStyle w:val="2"/>
        <w:jc w:val="center"/>
        <w:rPr>
          <w:rFonts w:asciiTheme="minorEastAsia" w:hAnsiTheme="minorEastAsia"/>
          <w:sz w:val="24"/>
          <w:szCs w:val="24"/>
        </w:rPr>
      </w:pPr>
      <w:r w:rsidRPr="005C2FBB">
        <w:rPr>
          <w:rFonts w:hint="eastAsia"/>
        </w:rPr>
        <w:lastRenderedPageBreak/>
        <w:t>表</w:t>
      </w:r>
      <w:r w:rsidRPr="005C2FBB">
        <w:rPr>
          <w:rFonts w:hint="eastAsia"/>
        </w:rPr>
        <w:t>4</w:t>
      </w:r>
      <w:r w:rsidRPr="005C2FBB">
        <w:rPr>
          <w:rFonts w:hint="eastAsia"/>
        </w:rPr>
        <w:t>：</w:t>
      </w:r>
      <w:r w:rsidR="005C2FBB" w:rsidRPr="005C2FBB">
        <w:rPr>
          <w:rFonts w:hint="eastAsia"/>
        </w:rPr>
        <w:t>高等学校财政拨款支出决算表</w:t>
      </w:r>
    </w:p>
    <w:p w:rsidR="0023181E" w:rsidRPr="0023181E" w:rsidRDefault="0023181E">
      <w:pPr>
        <w:widowControl/>
        <w:jc w:val="left"/>
        <w:rPr>
          <w:rFonts w:asciiTheme="minorEastAsia" w:hAnsiTheme="minorEastAsia"/>
          <w:sz w:val="24"/>
          <w:szCs w:val="24"/>
        </w:rPr>
      </w:pPr>
      <w:r w:rsidRPr="0023181E">
        <w:rPr>
          <w:rFonts w:asciiTheme="minorEastAsia" w:hAnsiTheme="minorEastAsia" w:hint="eastAsia"/>
          <w:sz w:val="24"/>
          <w:szCs w:val="24"/>
        </w:rPr>
        <w:t>部门：</w:t>
      </w:r>
      <w:r>
        <w:rPr>
          <w:rFonts w:asciiTheme="minorEastAsia" w:hAnsiTheme="minorEastAsia" w:hint="eastAsia"/>
          <w:sz w:val="24"/>
          <w:szCs w:val="24"/>
        </w:rPr>
        <w:t>中国政法大学                                                                                     金额单位：万元</w:t>
      </w:r>
    </w:p>
    <w:tbl>
      <w:tblPr>
        <w:tblW w:w="5000" w:type="pct"/>
        <w:tblLook w:val="04A0" w:firstRow="1" w:lastRow="0" w:firstColumn="1" w:lastColumn="0" w:noHBand="0" w:noVBand="1"/>
      </w:tblPr>
      <w:tblGrid>
        <w:gridCol w:w="505"/>
        <w:gridCol w:w="505"/>
        <w:gridCol w:w="507"/>
        <w:gridCol w:w="4071"/>
        <w:gridCol w:w="2455"/>
        <w:gridCol w:w="2670"/>
        <w:gridCol w:w="3461"/>
      </w:tblGrid>
      <w:tr w:rsidR="004D0E0D" w:rsidRPr="004D0E0D" w:rsidTr="0085181F">
        <w:trPr>
          <w:trHeight w:val="436"/>
        </w:trPr>
        <w:tc>
          <w:tcPr>
            <w:tcW w:w="53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科目编码</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科目名称</w:t>
            </w:r>
          </w:p>
        </w:tc>
        <w:tc>
          <w:tcPr>
            <w:tcW w:w="3029" w:type="pct"/>
            <w:gridSpan w:val="3"/>
            <w:tcBorders>
              <w:top w:val="single" w:sz="4" w:space="0" w:color="auto"/>
              <w:left w:val="nil"/>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本年支出</w:t>
            </w:r>
          </w:p>
        </w:tc>
      </w:tr>
      <w:tr w:rsidR="004D0E0D" w:rsidRPr="004D0E0D" w:rsidTr="0085181F">
        <w:trPr>
          <w:trHeight w:val="677"/>
        </w:trPr>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866" w:type="pct"/>
            <w:vMerge w:val="restart"/>
            <w:tcBorders>
              <w:top w:val="nil"/>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合计</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基本支出</w:t>
            </w:r>
          </w:p>
        </w:tc>
        <w:tc>
          <w:tcPr>
            <w:tcW w:w="1221" w:type="pct"/>
            <w:vMerge w:val="restart"/>
            <w:tcBorders>
              <w:top w:val="nil"/>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项目支出</w:t>
            </w:r>
          </w:p>
        </w:tc>
      </w:tr>
      <w:tr w:rsidR="004D0E0D" w:rsidRPr="004D0E0D" w:rsidTr="0085181F">
        <w:trPr>
          <w:trHeight w:val="312"/>
        </w:trPr>
        <w:tc>
          <w:tcPr>
            <w:tcW w:w="535" w:type="pct"/>
            <w:gridSpan w:val="3"/>
            <w:vMerge/>
            <w:tcBorders>
              <w:top w:val="single" w:sz="4" w:space="0" w:color="auto"/>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866" w:type="pct"/>
            <w:vMerge/>
            <w:tcBorders>
              <w:top w:val="nil"/>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942" w:type="pct"/>
            <w:vMerge/>
            <w:tcBorders>
              <w:top w:val="nil"/>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1221" w:type="pct"/>
            <w:vMerge/>
            <w:tcBorders>
              <w:top w:val="nil"/>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r>
      <w:tr w:rsidR="004D0E0D" w:rsidRPr="004D0E0D" w:rsidTr="0085181F">
        <w:trPr>
          <w:trHeight w:val="309"/>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类</w:t>
            </w:r>
          </w:p>
        </w:tc>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款</w:t>
            </w:r>
          </w:p>
        </w:tc>
        <w:tc>
          <w:tcPr>
            <w:tcW w:w="179" w:type="pct"/>
            <w:vMerge w:val="restart"/>
            <w:tcBorders>
              <w:top w:val="nil"/>
              <w:left w:val="single" w:sz="4" w:space="0" w:color="auto"/>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项</w:t>
            </w:r>
          </w:p>
        </w:tc>
        <w:tc>
          <w:tcPr>
            <w:tcW w:w="1436" w:type="pct"/>
            <w:tcBorders>
              <w:top w:val="nil"/>
              <w:left w:val="nil"/>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栏次</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w:t>
            </w:r>
          </w:p>
        </w:tc>
        <w:tc>
          <w:tcPr>
            <w:tcW w:w="1221" w:type="pct"/>
            <w:tcBorders>
              <w:top w:val="nil"/>
              <w:left w:val="nil"/>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w:t>
            </w:r>
          </w:p>
        </w:tc>
      </w:tr>
      <w:tr w:rsidR="004D0E0D" w:rsidRPr="004D0E0D" w:rsidTr="0085181F">
        <w:trPr>
          <w:trHeight w:val="309"/>
        </w:trPr>
        <w:tc>
          <w:tcPr>
            <w:tcW w:w="178" w:type="pct"/>
            <w:vMerge/>
            <w:tcBorders>
              <w:top w:val="nil"/>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178" w:type="pct"/>
            <w:vMerge/>
            <w:tcBorders>
              <w:top w:val="nil"/>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179" w:type="pct"/>
            <w:vMerge/>
            <w:tcBorders>
              <w:top w:val="nil"/>
              <w:left w:val="single" w:sz="4" w:space="0" w:color="auto"/>
              <w:bottom w:val="single" w:sz="4" w:space="0" w:color="auto"/>
              <w:right w:val="single" w:sz="4" w:space="0" w:color="auto"/>
            </w:tcBorders>
            <w:vAlign w:val="center"/>
            <w:hideMark/>
          </w:tcPr>
          <w:p w:rsidR="004D0E0D" w:rsidRPr="004D0E0D" w:rsidRDefault="004D0E0D" w:rsidP="004D0E0D">
            <w:pPr>
              <w:widowControl/>
              <w:jc w:val="left"/>
              <w:rPr>
                <w:rFonts w:asciiTheme="minorEastAsia" w:hAnsiTheme="minorEastAsia" w:cs="Arial"/>
                <w:color w:val="000000"/>
                <w:kern w:val="0"/>
                <w:sz w:val="24"/>
                <w:szCs w:val="24"/>
              </w:rPr>
            </w:pPr>
          </w:p>
        </w:tc>
        <w:tc>
          <w:tcPr>
            <w:tcW w:w="1436" w:type="pct"/>
            <w:tcBorders>
              <w:top w:val="nil"/>
              <w:left w:val="nil"/>
              <w:bottom w:val="single" w:sz="4" w:space="0" w:color="auto"/>
              <w:right w:val="single" w:sz="4" w:space="0" w:color="auto"/>
            </w:tcBorders>
            <w:shd w:val="clear" w:color="auto" w:fill="auto"/>
            <w:vAlign w:val="center"/>
            <w:hideMark/>
          </w:tcPr>
          <w:p w:rsidR="004D0E0D" w:rsidRPr="004D0E0D" w:rsidRDefault="004D0E0D" w:rsidP="004D0E0D">
            <w:pPr>
              <w:widowControl/>
              <w:jc w:val="center"/>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合计</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63,909.21</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45,589.96</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18,319.25</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w:t>
            </w:r>
          </w:p>
        </w:tc>
        <w:tc>
          <w:tcPr>
            <w:tcW w:w="1436"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教育支出</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59,046.21</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41,852.64</w:t>
            </w: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17,193.57</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20501</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教育管理事务</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3.00</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3.00</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2050102</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一般行政管理事务</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3.00</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3.00</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20502</w:t>
            </w:r>
          </w:p>
        </w:tc>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普通教育</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58,083.70</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41,852.64</w:t>
            </w:r>
          </w:p>
        </w:tc>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16,231.06</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2050205</w:t>
            </w:r>
          </w:p>
        </w:tc>
        <w:tc>
          <w:tcPr>
            <w:tcW w:w="1436"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高等教育</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58,083.70</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41,852.64</w:t>
            </w: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16,231.06</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20506</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留学教育</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652.98</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652.98</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2050602</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来华留学教育</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652.98</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652.98</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20599</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其他教育支出</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306.53</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306.53</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2059999</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其他教育支出</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306.53</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306.53</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206</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科学技术支出</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915.56</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915.56</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20602</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基础研究</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915.56</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915.56</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2060299</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其他基础研究支出</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915.56</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915.56</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211</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节能环保支出</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210.12</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210.12</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21110</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能源节约利用</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210.12</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210.12</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2111001</w:t>
            </w:r>
          </w:p>
        </w:tc>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能源节约利用</w:t>
            </w:r>
          </w:p>
        </w:tc>
        <w:tc>
          <w:tcPr>
            <w:tcW w:w="8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210.12</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210.12</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lastRenderedPageBreak/>
              <w:t>221</w:t>
            </w:r>
          </w:p>
        </w:tc>
        <w:tc>
          <w:tcPr>
            <w:tcW w:w="1436"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住房保障支出</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3,737.32</w:t>
            </w:r>
          </w:p>
        </w:tc>
        <w:tc>
          <w:tcPr>
            <w:tcW w:w="942"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3,737.32</w:t>
            </w: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22102</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住房改革支出</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3,737.32</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3,737.32</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r>
      <w:tr w:rsidR="004D0E0D" w:rsidRPr="004D0E0D" w:rsidTr="0085181F">
        <w:trPr>
          <w:trHeight w:val="309"/>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2210201</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住房公积金</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1,617.00</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1,617.00</w:t>
            </w:r>
          </w:p>
        </w:tc>
        <w:tc>
          <w:tcPr>
            <w:tcW w:w="1221"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w:t>
            </w:r>
          </w:p>
        </w:tc>
      </w:tr>
      <w:tr w:rsidR="004D0E0D" w:rsidRPr="004D0E0D" w:rsidTr="0085181F">
        <w:trPr>
          <w:trHeight w:val="271"/>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2210202</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提租补贴</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320.00</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320.00</w:t>
            </w:r>
          </w:p>
        </w:tc>
        <w:tc>
          <w:tcPr>
            <w:tcW w:w="1221" w:type="pct"/>
            <w:tcBorders>
              <w:top w:val="nil"/>
              <w:left w:val="nil"/>
              <w:bottom w:val="single" w:sz="4" w:space="0" w:color="auto"/>
              <w:right w:val="single" w:sz="4" w:space="0" w:color="auto"/>
            </w:tcBorders>
            <w:shd w:val="clear" w:color="auto" w:fill="auto"/>
            <w:noWrap/>
            <w:vAlign w:val="bottom"/>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color w:val="000000"/>
                <w:kern w:val="0"/>
                <w:sz w:val="24"/>
                <w:szCs w:val="24"/>
              </w:rPr>
              <w:t xml:space="preserve">　</w:t>
            </w:r>
          </w:p>
        </w:tc>
      </w:tr>
      <w:tr w:rsidR="004D0E0D" w:rsidRPr="004D0E0D" w:rsidTr="0085181F">
        <w:trPr>
          <w:trHeight w:val="271"/>
        </w:trPr>
        <w:tc>
          <w:tcPr>
            <w:tcW w:w="5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2210203</w:t>
            </w:r>
          </w:p>
        </w:tc>
        <w:tc>
          <w:tcPr>
            <w:tcW w:w="143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 xml:space="preserve">  购房补贴</w:t>
            </w:r>
          </w:p>
        </w:tc>
        <w:tc>
          <w:tcPr>
            <w:tcW w:w="866"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1,800.32</w:t>
            </w:r>
          </w:p>
        </w:tc>
        <w:tc>
          <w:tcPr>
            <w:tcW w:w="942" w:type="pct"/>
            <w:tcBorders>
              <w:top w:val="nil"/>
              <w:left w:val="nil"/>
              <w:bottom w:val="single" w:sz="4" w:space="0" w:color="auto"/>
              <w:right w:val="single" w:sz="4" w:space="0" w:color="auto"/>
            </w:tcBorders>
            <w:shd w:val="clear" w:color="auto" w:fill="auto"/>
            <w:noWrap/>
            <w:vAlign w:val="center"/>
            <w:hideMark/>
          </w:tcPr>
          <w:p w:rsidR="004D0E0D" w:rsidRPr="004D0E0D" w:rsidRDefault="004D0E0D" w:rsidP="004D0E0D">
            <w:pPr>
              <w:widowControl/>
              <w:jc w:val="right"/>
              <w:rPr>
                <w:rFonts w:asciiTheme="minorEastAsia" w:hAnsiTheme="minorEastAsia" w:cs="Arial"/>
                <w:color w:val="000000"/>
                <w:kern w:val="0"/>
                <w:sz w:val="24"/>
                <w:szCs w:val="24"/>
              </w:rPr>
            </w:pPr>
            <w:r w:rsidRPr="004D0E0D">
              <w:rPr>
                <w:rFonts w:asciiTheme="minorEastAsia" w:hAnsiTheme="minorEastAsia" w:cs="Arial" w:hint="eastAsia"/>
                <w:color w:val="000000"/>
                <w:kern w:val="0"/>
                <w:sz w:val="24"/>
                <w:szCs w:val="24"/>
              </w:rPr>
              <w:t>1,800.32</w:t>
            </w:r>
          </w:p>
        </w:tc>
        <w:tc>
          <w:tcPr>
            <w:tcW w:w="1221" w:type="pct"/>
            <w:tcBorders>
              <w:top w:val="nil"/>
              <w:left w:val="nil"/>
              <w:bottom w:val="single" w:sz="4" w:space="0" w:color="auto"/>
              <w:right w:val="single" w:sz="4" w:space="0" w:color="auto"/>
            </w:tcBorders>
            <w:shd w:val="clear" w:color="auto" w:fill="auto"/>
            <w:noWrap/>
            <w:vAlign w:val="bottom"/>
            <w:hideMark/>
          </w:tcPr>
          <w:p w:rsidR="004D0E0D" w:rsidRPr="004D0E0D" w:rsidRDefault="004D0E0D" w:rsidP="004D0E0D">
            <w:pPr>
              <w:widowControl/>
              <w:jc w:val="left"/>
              <w:rPr>
                <w:rFonts w:asciiTheme="minorEastAsia" w:hAnsiTheme="minorEastAsia" w:cs="Arial"/>
                <w:color w:val="000000"/>
                <w:kern w:val="0"/>
                <w:sz w:val="24"/>
                <w:szCs w:val="24"/>
              </w:rPr>
            </w:pPr>
            <w:r w:rsidRPr="004D0E0D">
              <w:rPr>
                <w:rFonts w:asciiTheme="minorEastAsia" w:hAnsiTheme="minorEastAsia" w:cs="Arial"/>
                <w:color w:val="000000"/>
                <w:kern w:val="0"/>
                <w:sz w:val="24"/>
                <w:szCs w:val="24"/>
              </w:rPr>
              <w:t xml:space="preserve">　</w:t>
            </w:r>
          </w:p>
        </w:tc>
      </w:tr>
    </w:tbl>
    <w:p w:rsidR="004D0E0D" w:rsidRDefault="004D0E0D">
      <w:pPr>
        <w:widowControl/>
        <w:jc w:val="left"/>
        <w:rPr>
          <w:rFonts w:ascii="黑体" w:eastAsia="黑体" w:hAnsi="黑体"/>
          <w:sz w:val="32"/>
          <w:szCs w:val="32"/>
        </w:rPr>
        <w:sectPr w:rsidR="004D0E0D" w:rsidSect="002743EB">
          <w:pgSz w:w="16838" w:h="11906" w:orient="landscape"/>
          <w:pgMar w:top="1800" w:right="1440" w:bottom="1800" w:left="1440" w:header="851" w:footer="992" w:gutter="0"/>
          <w:cols w:space="425"/>
          <w:docGrid w:type="lines" w:linePitch="312"/>
        </w:sectPr>
      </w:pPr>
    </w:p>
    <w:p w:rsidR="00150250" w:rsidRPr="008D7DFA" w:rsidRDefault="00150250" w:rsidP="000307A3">
      <w:pPr>
        <w:pStyle w:val="1"/>
        <w:ind w:firstLineChars="200" w:firstLine="643"/>
        <w:rPr>
          <w:rFonts w:ascii="Times New Roman" w:eastAsia="黑体" w:hAnsi="黑体" w:cs="Times New Roman"/>
          <w:sz w:val="32"/>
          <w:szCs w:val="32"/>
        </w:rPr>
      </w:pPr>
      <w:bookmarkStart w:id="7" w:name="_Toc488246753"/>
      <w:r w:rsidRPr="008D7DFA">
        <w:rPr>
          <w:rFonts w:ascii="Times New Roman" w:eastAsia="黑体" w:hAnsi="黑体" w:cs="Times New Roman" w:hint="eastAsia"/>
          <w:sz w:val="32"/>
          <w:szCs w:val="32"/>
        </w:rPr>
        <w:lastRenderedPageBreak/>
        <w:t>三、决算报表说明</w:t>
      </w:r>
      <w:bookmarkEnd w:id="7"/>
    </w:p>
    <w:p w:rsidR="00150250" w:rsidRPr="008D7DFA" w:rsidRDefault="00150250" w:rsidP="000307A3">
      <w:pPr>
        <w:pStyle w:val="2"/>
        <w:ind w:firstLineChars="200" w:firstLine="640"/>
        <w:rPr>
          <w:rFonts w:asciiTheme="minorEastAsia" w:eastAsiaTheme="minorEastAsia" w:hAnsiTheme="minorEastAsia" w:cs="Times New Roman"/>
          <w:bCs w:val="0"/>
          <w:kern w:val="44"/>
        </w:rPr>
      </w:pPr>
      <w:bookmarkStart w:id="8" w:name="_Toc488246754"/>
      <w:r w:rsidRPr="008D7DFA">
        <w:rPr>
          <w:rFonts w:ascii="Times New Roman" w:eastAsia="华文楷体" w:hAnsi="华文楷体" w:cs="Times New Roman" w:hint="eastAsia"/>
        </w:rPr>
        <w:t>（一）高等学校收支决算总表说明</w:t>
      </w:r>
      <w:bookmarkEnd w:id="8"/>
    </w:p>
    <w:p w:rsidR="001B28ED"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学校</w:t>
      </w:r>
      <w:r w:rsidR="001B28ED" w:rsidRPr="008D7DFA">
        <w:rPr>
          <w:rFonts w:asciiTheme="minorEastAsia" w:hAnsiTheme="minorEastAsia" w:cs="Times New Roman" w:hint="eastAsia"/>
          <w:bCs/>
          <w:kern w:val="44"/>
          <w:sz w:val="32"/>
          <w:szCs w:val="32"/>
        </w:rPr>
        <w:t>2016</w:t>
      </w:r>
      <w:r w:rsidRPr="008D7DFA">
        <w:rPr>
          <w:rFonts w:asciiTheme="minorEastAsia" w:hAnsiTheme="minorEastAsia" w:cs="Times New Roman" w:hint="eastAsia"/>
          <w:bCs/>
          <w:kern w:val="44"/>
          <w:sz w:val="32"/>
          <w:szCs w:val="32"/>
        </w:rPr>
        <w:t>年收入总计</w:t>
      </w:r>
      <w:r w:rsidR="001B28ED" w:rsidRPr="008D7DFA">
        <w:rPr>
          <w:rFonts w:asciiTheme="minorEastAsia" w:hAnsiTheme="minorEastAsia" w:cs="Times New Roman"/>
          <w:bCs/>
          <w:kern w:val="44"/>
          <w:sz w:val="32"/>
          <w:szCs w:val="32"/>
        </w:rPr>
        <w:t>108,651.54</w:t>
      </w:r>
      <w:r w:rsidR="003A11BB" w:rsidRPr="008D7DFA">
        <w:rPr>
          <w:rFonts w:asciiTheme="minorEastAsia" w:hAnsiTheme="minorEastAsia" w:cs="Times New Roman" w:hint="eastAsia"/>
          <w:bCs/>
          <w:kern w:val="44"/>
          <w:sz w:val="32"/>
          <w:szCs w:val="32"/>
        </w:rPr>
        <w:t>万元，较</w:t>
      </w:r>
      <w:r w:rsidRPr="008D7DFA">
        <w:rPr>
          <w:rFonts w:asciiTheme="minorEastAsia" w:hAnsiTheme="minorEastAsia" w:cs="Times New Roman" w:hint="eastAsia"/>
          <w:bCs/>
          <w:kern w:val="44"/>
          <w:sz w:val="32"/>
          <w:szCs w:val="32"/>
        </w:rPr>
        <w:t>2015年</w:t>
      </w:r>
      <w:r w:rsidR="00713BE4" w:rsidRPr="008D7DFA">
        <w:rPr>
          <w:rFonts w:asciiTheme="minorEastAsia" w:hAnsiTheme="minorEastAsia" w:cs="Times New Roman" w:hint="eastAsia"/>
          <w:bCs/>
          <w:kern w:val="44"/>
          <w:sz w:val="32"/>
          <w:szCs w:val="32"/>
        </w:rPr>
        <w:t>105,867.84万元</w:t>
      </w:r>
      <w:r w:rsidRPr="008D7DFA">
        <w:rPr>
          <w:rFonts w:asciiTheme="minorEastAsia" w:hAnsiTheme="minorEastAsia" w:cs="Times New Roman" w:hint="eastAsia"/>
          <w:bCs/>
          <w:kern w:val="44"/>
          <w:sz w:val="32"/>
          <w:szCs w:val="32"/>
        </w:rPr>
        <w:t>增加</w:t>
      </w:r>
      <w:r w:rsidR="001B28ED" w:rsidRPr="008D7DFA">
        <w:rPr>
          <w:rFonts w:asciiTheme="minorEastAsia" w:hAnsiTheme="minorEastAsia" w:cs="Times New Roman"/>
          <w:bCs/>
          <w:kern w:val="44"/>
          <w:sz w:val="32"/>
          <w:szCs w:val="32"/>
        </w:rPr>
        <w:t>2,783.70</w:t>
      </w:r>
      <w:r w:rsidRPr="008D7DFA">
        <w:rPr>
          <w:rFonts w:asciiTheme="minorEastAsia" w:hAnsiTheme="minorEastAsia" w:cs="Times New Roman" w:hint="eastAsia"/>
          <w:bCs/>
          <w:kern w:val="44"/>
          <w:sz w:val="32"/>
          <w:szCs w:val="32"/>
        </w:rPr>
        <w:t>万元，增长</w:t>
      </w:r>
      <w:r w:rsidR="001B28ED" w:rsidRPr="008D7DFA">
        <w:rPr>
          <w:rFonts w:asciiTheme="minorEastAsia" w:hAnsiTheme="minorEastAsia" w:cs="Times New Roman" w:hint="eastAsia"/>
          <w:sz w:val="32"/>
          <w:szCs w:val="32"/>
        </w:rPr>
        <w:t>2.63%</w:t>
      </w:r>
      <w:r w:rsidRPr="008D7DFA">
        <w:rPr>
          <w:rFonts w:asciiTheme="minorEastAsia" w:hAnsiTheme="minorEastAsia" w:cs="Times New Roman" w:hint="eastAsia"/>
          <w:bCs/>
          <w:kern w:val="44"/>
          <w:sz w:val="32"/>
          <w:szCs w:val="32"/>
        </w:rPr>
        <w:t>。其中：财政</w:t>
      </w:r>
      <w:r w:rsidR="00D83976" w:rsidRPr="008D7DFA">
        <w:rPr>
          <w:rFonts w:asciiTheme="minorEastAsia" w:hAnsiTheme="minorEastAsia" w:cs="Times New Roman" w:hint="eastAsia"/>
          <w:bCs/>
          <w:kern w:val="44"/>
          <w:sz w:val="32"/>
          <w:szCs w:val="32"/>
        </w:rPr>
        <w:t>拨款</w:t>
      </w:r>
      <w:r w:rsidRPr="008D7DFA">
        <w:rPr>
          <w:rFonts w:asciiTheme="minorEastAsia" w:hAnsiTheme="minorEastAsia" w:cs="Times New Roman" w:hint="eastAsia"/>
          <w:bCs/>
          <w:kern w:val="44"/>
          <w:sz w:val="32"/>
          <w:szCs w:val="32"/>
        </w:rPr>
        <w:t>收入</w:t>
      </w:r>
      <w:r w:rsidR="001B28ED" w:rsidRPr="008D7DFA">
        <w:rPr>
          <w:rFonts w:asciiTheme="minorEastAsia" w:hAnsiTheme="minorEastAsia" w:cs="Times New Roman" w:hint="eastAsia"/>
          <w:bCs/>
          <w:kern w:val="44"/>
          <w:sz w:val="32"/>
          <w:szCs w:val="32"/>
        </w:rPr>
        <w:t>减少460.75</w:t>
      </w:r>
      <w:r w:rsidRPr="008D7DFA">
        <w:rPr>
          <w:rFonts w:asciiTheme="minorEastAsia" w:hAnsiTheme="minorEastAsia" w:cs="Times New Roman" w:hint="eastAsia"/>
          <w:bCs/>
          <w:kern w:val="44"/>
          <w:sz w:val="32"/>
          <w:szCs w:val="32"/>
        </w:rPr>
        <w:t>万元，事业收入</w:t>
      </w:r>
      <w:r w:rsidR="001B28ED" w:rsidRPr="008D7DFA">
        <w:rPr>
          <w:rFonts w:asciiTheme="minorEastAsia" w:hAnsiTheme="minorEastAsia" w:cs="Times New Roman" w:hint="eastAsia"/>
          <w:bCs/>
          <w:kern w:val="44"/>
          <w:sz w:val="32"/>
          <w:szCs w:val="32"/>
        </w:rPr>
        <w:t>增加1,685.65</w:t>
      </w:r>
      <w:r w:rsidRPr="008D7DFA">
        <w:rPr>
          <w:rFonts w:asciiTheme="minorEastAsia" w:hAnsiTheme="minorEastAsia" w:cs="Times New Roman" w:hint="eastAsia"/>
          <w:bCs/>
          <w:kern w:val="44"/>
          <w:sz w:val="32"/>
          <w:szCs w:val="32"/>
        </w:rPr>
        <w:t>万元，其他收入增加</w:t>
      </w:r>
      <w:r w:rsidR="001B28ED" w:rsidRPr="008D7DFA">
        <w:rPr>
          <w:rFonts w:asciiTheme="minorEastAsia" w:hAnsiTheme="minorEastAsia" w:cs="Tahoma" w:hint="eastAsia"/>
          <w:color w:val="000000"/>
          <w:kern w:val="0"/>
          <w:sz w:val="32"/>
          <w:szCs w:val="32"/>
        </w:rPr>
        <w:t>1,653.69</w:t>
      </w:r>
      <w:r w:rsidRPr="008D7DFA">
        <w:rPr>
          <w:rFonts w:asciiTheme="minorEastAsia" w:hAnsiTheme="minorEastAsia" w:cs="Times New Roman" w:hint="eastAsia"/>
          <w:bCs/>
          <w:kern w:val="44"/>
          <w:sz w:val="32"/>
          <w:szCs w:val="32"/>
        </w:rPr>
        <w:t>万元，经营收入减少</w:t>
      </w:r>
      <w:r w:rsidR="001B28ED" w:rsidRPr="008D7DFA">
        <w:rPr>
          <w:rFonts w:asciiTheme="minorEastAsia" w:hAnsiTheme="minorEastAsia" w:cs="Tahoma" w:hint="eastAsia"/>
          <w:color w:val="000000"/>
          <w:kern w:val="0"/>
          <w:sz w:val="32"/>
          <w:szCs w:val="32"/>
        </w:rPr>
        <w:t>94.89</w:t>
      </w:r>
      <w:r w:rsidRPr="008D7DFA">
        <w:rPr>
          <w:rFonts w:asciiTheme="minorEastAsia" w:hAnsiTheme="minorEastAsia" w:cs="Times New Roman" w:hint="eastAsia"/>
          <w:bCs/>
          <w:kern w:val="44"/>
          <w:sz w:val="32"/>
          <w:szCs w:val="32"/>
        </w:rPr>
        <w:t>万元。</w:t>
      </w:r>
    </w:p>
    <w:p w:rsidR="00150250" w:rsidRPr="008D7DFA" w:rsidRDefault="00596916"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增加</w:t>
      </w:r>
      <w:r w:rsidR="00251FA4">
        <w:rPr>
          <w:rFonts w:asciiTheme="minorEastAsia" w:hAnsiTheme="minorEastAsia" w:cs="Times New Roman" w:hint="eastAsia"/>
          <w:bCs/>
          <w:kern w:val="44"/>
          <w:sz w:val="32"/>
          <w:szCs w:val="32"/>
        </w:rPr>
        <w:t>的主要原因</w:t>
      </w:r>
      <w:r w:rsidR="00150250" w:rsidRPr="008D7DFA">
        <w:rPr>
          <w:rFonts w:asciiTheme="minorEastAsia" w:hAnsiTheme="minorEastAsia" w:cs="Times New Roman" w:hint="eastAsia"/>
          <w:bCs/>
          <w:kern w:val="44"/>
          <w:sz w:val="32"/>
          <w:szCs w:val="32"/>
        </w:rPr>
        <w:t>：一是</w:t>
      </w:r>
      <w:r w:rsidRPr="008D7DFA">
        <w:rPr>
          <w:rFonts w:asciiTheme="minorEastAsia" w:hAnsiTheme="minorEastAsia" w:cs="Times New Roman" w:hint="eastAsia"/>
          <w:bCs/>
          <w:kern w:val="44"/>
          <w:sz w:val="32"/>
          <w:szCs w:val="32"/>
        </w:rPr>
        <w:t>教育事业收入有所增加</w:t>
      </w:r>
      <w:r w:rsidR="00150250" w:rsidRPr="008D7DFA">
        <w:rPr>
          <w:rFonts w:asciiTheme="minorEastAsia" w:hAnsiTheme="minorEastAsia" w:cs="Times New Roman" w:hint="eastAsia"/>
          <w:bCs/>
          <w:kern w:val="44"/>
          <w:sz w:val="32"/>
          <w:szCs w:val="32"/>
        </w:rPr>
        <w:t>，主要是</w:t>
      </w:r>
      <w:r w:rsidRPr="008D7DFA">
        <w:rPr>
          <w:rFonts w:asciiTheme="minorEastAsia" w:hAnsiTheme="minorEastAsia" w:cs="Times New Roman" w:hint="eastAsia"/>
          <w:bCs/>
          <w:kern w:val="44"/>
          <w:sz w:val="32"/>
          <w:szCs w:val="32"/>
        </w:rPr>
        <w:t>函授、夜大及短训班培训费的增加</w:t>
      </w:r>
      <w:r w:rsidR="00150250" w:rsidRPr="008D7DFA">
        <w:rPr>
          <w:rFonts w:asciiTheme="minorEastAsia" w:hAnsiTheme="minorEastAsia" w:cs="Times New Roman" w:hint="eastAsia"/>
          <w:bCs/>
          <w:kern w:val="44"/>
          <w:sz w:val="32"/>
          <w:szCs w:val="32"/>
        </w:rPr>
        <w:t>；二是其他收入较上年有所增加，主要是</w:t>
      </w:r>
      <w:r w:rsidRPr="008D7DFA">
        <w:rPr>
          <w:rFonts w:asciiTheme="minorEastAsia" w:hAnsiTheme="minorEastAsia" w:cs="Times New Roman" w:hint="eastAsia"/>
          <w:bCs/>
          <w:kern w:val="44"/>
          <w:sz w:val="32"/>
          <w:szCs w:val="32"/>
        </w:rPr>
        <w:t>非同级财政拨款、学校本年捐赠收入、房屋出租收入等增加</w:t>
      </w:r>
      <w:r w:rsidR="00150250" w:rsidRPr="008D7DFA">
        <w:rPr>
          <w:rFonts w:asciiTheme="minorEastAsia" w:hAnsiTheme="minorEastAsia" w:cs="Times New Roman" w:hint="eastAsia"/>
          <w:bCs/>
          <w:kern w:val="44"/>
          <w:sz w:val="32"/>
          <w:szCs w:val="32"/>
        </w:rPr>
        <w:t>。</w:t>
      </w:r>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学校201</w:t>
      </w:r>
      <w:r w:rsidR="00C871FB" w:rsidRPr="008D7DFA">
        <w:rPr>
          <w:rFonts w:asciiTheme="minorEastAsia" w:hAnsiTheme="minorEastAsia" w:cs="Times New Roman" w:hint="eastAsia"/>
          <w:bCs/>
          <w:kern w:val="44"/>
          <w:sz w:val="32"/>
          <w:szCs w:val="32"/>
        </w:rPr>
        <w:t>6</w:t>
      </w:r>
      <w:r w:rsidRPr="008D7DFA">
        <w:rPr>
          <w:rFonts w:asciiTheme="minorEastAsia" w:hAnsiTheme="minorEastAsia" w:cs="Times New Roman" w:hint="eastAsia"/>
          <w:bCs/>
          <w:kern w:val="44"/>
          <w:sz w:val="32"/>
          <w:szCs w:val="32"/>
        </w:rPr>
        <w:t>年支出总计</w:t>
      </w:r>
      <w:r w:rsidR="00C871FB" w:rsidRPr="008D7DFA">
        <w:rPr>
          <w:rFonts w:asciiTheme="minorEastAsia" w:hAnsiTheme="minorEastAsia" w:cs="Times New Roman"/>
          <w:bCs/>
          <w:kern w:val="44"/>
          <w:sz w:val="32"/>
          <w:szCs w:val="32"/>
        </w:rPr>
        <w:t>104,696.17</w:t>
      </w:r>
      <w:r w:rsidR="003A11BB" w:rsidRPr="008D7DFA">
        <w:rPr>
          <w:rFonts w:asciiTheme="minorEastAsia" w:hAnsiTheme="minorEastAsia" w:cs="Times New Roman" w:hint="eastAsia"/>
          <w:bCs/>
          <w:kern w:val="44"/>
          <w:sz w:val="32"/>
          <w:szCs w:val="32"/>
        </w:rPr>
        <w:t>万元，较</w:t>
      </w:r>
      <w:r w:rsidRPr="008D7DFA">
        <w:rPr>
          <w:rFonts w:asciiTheme="minorEastAsia" w:hAnsiTheme="minorEastAsia" w:cs="Times New Roman" w:hint="eastAsia"/>
          <w:bCs/>
          <w:kern w:val="44"/>
          <w:sz w:val="32"/>
          <w:szCs w:val="32"/>
        </w:rPr>
        <w:t>201</w:t>
      </w:r>
      <w:r w:rsidR="00C871FB" w:rsidRPr="008D7DFA">
        <w:rPr>
          <w:rFonts w:asciiTheme="minorEastAsia" w:hAnsiTheme="minorEastAsia" w:cs="Times New Roman" w:hint="eastAsia"/>
          <w:bCs/>
          <w:kern w:val="44"/>
          <w:sz w:val="32"/>
          <w:szCs w:val="32"/>
        </w:rPr>
        <w:t>5</w:t>
      </w:r>
      <w:r w:rsidR="003A11BB" w:rsidRPr="008D7DFA">
        <w:rPr>
          <w:rFonts w:asciiTheme="minorEastAsia" w:hAnsiTheme="minorEastAsia" w:cs="Times New Roman" w:hint="eastAsia"/>
          <w:bCs/>
          <w:kern w:val="44"/>
          <w:sz w:val="32"/>
          <w:szCs w:val="32"/>
        </w:rPr>
        <w:t>年99,324.25万元</w:t>
      </w:r>
      <w:r w:rsidRPr="008D7DFA">
        <w:rPr>
          <w:rFonts w:asciiTheme="minorEastAsia" w:hAnsiTheme="minorEastAsia" w:cs="Times New Roman" w:hint="eastAsia"/>
          <w:bCs/>
          <w:kern w:val="44"/>
          <w:sz w:val="32"/>
          <w:szCs w:val="32"/>
        </w:rPr>
        <w:t>增加</w:t>
      </w:r>
      <w:r w:rsidR="00C871FB" w:rsidRPr="008D7DFA">
        <w:rPr>
          <w:rFonts w:asciiTheme="minorEastAsia" w:hAnsiTheme="minorEastAsia" w:cs="Times New Roman"/>
          <w:bCs/>
          <w:kern w:val="44"/>
          <w:sz w:val="32"/>
          <w:szCs w:val="32"/>
        </w:rPr>
        <w:t>5,371.92</w:t>
      </w:r>
      <w:r w:rsidRPr="008D7DFA">
        <w:rPr>
          <w:rFonts w:asciiTheme="minorEastAsia" w:hAnsiTheme="minorEastAsia" w:cs="Times New Roman" w:hint="eastAsia"/>
          <w:bCs/>
          <w:kern w:val="44"/>
          <w:sz w:val="32"/>
          <w:szCs w:val="32"/>
        </w:rPr>
        <w:t>万元，增长</w:t>
      </w:r>
      <w:r w:rsidR="00C871FB" w:rsidRPr="008D7DFA">
        <w:rPr>
          <w:rFonts w:asciiTheme="minorEastAsia" w:hAnsiTheme="minorEastAsia" w:cs="Times New Roman" w:hint="eastAsia"/>
          <w:bCs/>
          <w:kern w:val="44"/>
          <w:sz w:val="32"/>
          <w:szCs w:val="32"/>
        </w:rPr>
        <w:t>5.41</w:t>
      </w:r>
      <w:r w:rsidRPr="008D7DFA">
        <w:rPr>
          <w:rFonts w:asciiTheme="minorEastAsia" w:hAnsiTheme="minorEastAsia" w:cs="Times New Roman" w:hint="eastAsia"/>
          <w:bCs/>
          <w:kern w:val="44"/>
          <w:sz w:val="32"/>
          <w:szCs w:val="32"/>
        </w:rPr>
        <w:t>%。其中：一般公共服务支出</w:t>
      </w:r>
      <w:r w:rsidR="00C871FB" w:rsidRPr="008D7DFA">
        <w:rPr>
          <w:rFonts w:asciiTheme="minorEastAsia" w:hAnsiTheme="minorEastAsia" w:cs="Times New Roman" w:hint="eastAsia"/>
          <w:bCs/>
          <w:kern w:val="44"/>
          <w:sz w:val="32"/>
          <w:szCs w:val="32"/>
        </w:rPr>
        <w:t>15.72</w:t>
      </w:r>
      <w:r w:rsidRPr="008D7DFA">
        <w:rPr>
          <w:rFonts w:asciiTheme="minorEastAsia" w:hAnsiTheme="minorEastAsia" w:cs="Times New Roman" w:hint="eastAsia"/>
          <w:bCs/>
          <w:kern w:val="44"/>
          <w:sz w:val="32"/>
          <w:szCs w:val="32"/>
        </w:rPr>
        <w:t>万元，教育支出</w:t>
      </w:r>
      <w:r w:rsidR="00C871FB" w:rsidRPr="008D7DFA">
        <w:rPr>
          <w:rFonts w:asciiTheme="minorEastAsia" w:hAnsiTheme="minorEastAsia" w:cs="Times New Roman" w:hint="eastAsia"/>
          <w:bCs/>
          <w:kern w:val="44"/>
          <w:sz w:val="32"/>
          <w:szCs w:val="32"/>
        </w:rPr>
        <w:t>98,925.74</w:t>
      </w:r>
      <w:r w:rsidRPr="008D7DFA">
        <w:rPr>
          <w:rFonts w:asciiTheme="minorEastAsia" w:hAnsiTheme="minorEastAsia" w:cs="Times New Roman" w:hint="eastAsia"/>
          <w:bCs/>
          <w:kern w:val="44"/>
          <w:sz w:val="32"/>
          <w:szCs w:val="32"/>
        </w:rPr>
        <w:t>万元，科学技术支出</w:t>
      </w:r>
      <w:r w:rsidR="00C871FB" w:rsidRPr="008D7DFA">
        <w:rPr>
          <w:rFonts w:asciiTheme="minorEastAsia" w:hAnsiTheme="minorEastAsia" w:cs="Times New Roman" w:hint="eastAsia"/>
          <w:bCs/>
          <w:kern w:val="44"/>
          <w:sz w:val="32"/>
          <w:szCs w:val="32"/>
        </w:rPr>
        <w:t>915.56</w:t>
      </w:r>
      <w:r w:rsidRPr="008D7DFA">
        <w:rPr>
          <w:rFonts w:asciiTheme="minorEastAsia" w:hAnsiTheme="minorEastAsia" w:cs="Times New Roman" w:hint="eastAsia"/>
          <w:bCs/>
          <w:kern w:val="44"/>
          <w:sz w:val="32"/>
          <w:szCs w:val="32"/>
        </w:rPr>
        <w:t>万元，节能环保支出</w:t>
      </w:r>
      <w:r w:rsidR="00C871FB" w:rsidRPr="008D7DFA">
        <w:rPr>
          <w:rFonts w:asciiTheme="minorEastAsia" w:hAnsiTheme="minorEastAsia" w:cs="Times New Roman" w:hint="eastAsia"/>
          <w:bCs/>
          <w:kern w:val="44"/>
          <w:sz w:val="32"/>
          <w:szCs w:val="32"/>
        </w:rPr>
        <w:t>210.12</w:t>
      </w:r>
      <w:r w:rsidRPr="008D7DFA">
        <w:rPr>
          <w:rFonts w:asciiTheme="minorEastAsia" w:hAnsiTheme="minorEastAsia" w:cs="Times New Roman" w:hint="eastAsia"/>
          <w:bCs/>
          <w:kern w:val="44"/>
          <w:sz w:val="32"/>
          <w:szCs w:val="32"/>
        </w:rPr>
        <w:t>万元，住房保障支出</w:t>
      </w:r>
      <w:r w:rsidR="00C871FB" w:rsidRPr="008D7DFA">
        <w:rPr>
          <w:rFonts w:asciiTheme="minorEastAsia" w:hAnsiTheme="minorEastAsia" w:cs="Times New Roman" w:hint="eastAsia"/>
          <w:bCs/>
          <w:kern w:val="44"/>
          <w:sz w:val="32"/>
          <w:szCs w:val="32"/>
        </w:rPr>
        <w:t>4,629.03</w:t>
      </w:r>
      <w:r w:rsidRPr="008D7DFA">
        <w:rPr>
          <w:rFonts w:asciiTheme="minorEastAsia" w:hAnsiTheme="minorEastAsia" w:cs="Times New Roman" w:hint="eastAsia"/>
          <w:bCs/>
          <w:kern w:val="44"/>
          <w:sz w:val="32"/>
          <w:szCs w:val="32"/>
        </w:rPr>
        <w:t>万元。增加的主要原因是：学校201</w:t>
      </w:r>
      <w:r w:rsidR="009B0247" w:rsidRPr="008D7DFA">
        <w:rPr>
          <w:rFonts w:asciiTheme="minorEastAsia" w:hAnsiTheme="minorEastAsia" w:cs="Times New Roman" w:hint="eastAsia"/>
          <w:bCs/>
          <w:kern w:val="44"/>
          <w:sz w:val="32"/>
          <w:szCs w:val="32"/>
        </w:rPr>
        <w:t>6</w:t>
      </w:r>
      <w:r w:rsidRPr="008D7DFA">
        <w:rPr>
          <w:rFonts w:asciiTheme="minorEastAsia" w:hAnsiTheme="minorEastAsia" w:cs="Times New Roman" w:hint="eastAsia"/>
          <w:bCs/>
          <w:kern w:val="44"/>
          <w:sz w:val="32"/>
          <w:szCs w:val="32"/>
        </w:rPr>
        <w:t>年在执行</w:t>
      </w:r>
      <w:r w:rsidR="009B0247" w:rsidRPr="008D7DFA">
        <w:rPr>
          <w:rFonts w:asciiTheme="minorEastAsia" w:hAnsiTheme="minorEastAsia" w:cs="Times New Roman" w:hint="eastAsia"/>
          <w:bCs/>
          <w:kern w:val="44"/>
          <w:sz w:val="32"/>
          <w:szCs w:val="32"/>
        </w:rPr>
        <w:t>“保障养老保险改革并适当提高职工福利、全力保障学校中心工作、进一步改善办学条件、继续严控三公经费的增长”</w:t>
      </w:r>
      <w:r w:rsidRPr="008D7DFA">
        <w:rPr>
          <w:rFonts w:asciiTheme="minorEastAsia" w:hAnsiTheme="minorEastAsia" w:cs="Times New Roman" w:hint="eastAsia"/>
          <w:bCs/>
          <w:kern w:val="44"/>
          <w:sz w:val="32"/>
          <w:szCs w:val="32"/>
        </w:rPr>
        <w:t>的支出预算工作宗旨下，</w:t>
      </w:r>
      <w:r w:rsidR="009B0247" w:rsidRPr="008D7DFA">
        <w:rPr>
          <w:rFonts w:asciiTheme="minorEastAsia" w:hAnsiTheme="minorEastAsia" w:cs="Times New Roman" w:hint="eastAsia"/>
          <w:bCs/>
          <w:kern w:val="44"/>
          <w:sz w:val="32"/>
          <w:szCs w:val="32"/>
        </w:rPr>
        <w:t>教学支出较上年增幅较大,</w:t>
      </w:r>
      <w:r w:rsidRPr="008D7DFA">
        <w:rPr>
          <w:rFonts w:asciiTheme="minorEastAsia" w:hAnsiTheme="minorEastAsia" w:cs="Times New Roman" w:hint="eastAsia"/>
          <w:bCs/>
          <w:kern w:val="44"/>
          <w:sz w:val="32"/>
          <w:szCs w:val="32"/>
        </w:rPr>
        <w:t>人员支出</w:t>
      </w:r>
      <w:r w:rsidR="009B0247" w:rsidRPr="008D7DFA">
        <w:rPr>
          <w:rFonts w:asciiTheme="minorEastAsia" w:hAnsiTheme="minorEastAsia" w:cs="Times New Roman" w:hint="eastAsia"/>
          <w:bCs/>
          <w:kern w:val="44"/>
          <w:sz w:val="32"/>
          <w:szCs w:val="32"/>
        </w:rPr>
        <w:t>较上年</w:t>
      </w:r>
      <w:r w:rsidRPr="008D7DFA">
        <w:rPr>
          <w:rFonts w:asciiTheme="minorEastAsia" w:hAnsiTheme="minorEastAsia" w:cs="Times New Roman" w:hint="eastAsia"/>
          <w:bCs/>
          <w:kern w:val="44"/>
          <w:sz w:val="32"/>
          <w:szCs w:val="32"/>
        </w:rPr>
        <w:t>有所增长，而公用支</w:t>
      </w:r>
      <w:r w:rsidR="009B0247" w:rsidRPr="008D7DFA">
        <w:rPr>
          <w:rFonts w:asciiTheme="minorEastAsia" w:hAnsiTheme="minorEastAsia" w:cs="Times New Roman" w:hint="eastAsia"/>
          <w:bCs/>
          <w:kern w:val="44"/>
          <w:sz w:val="32"/>
          <w:szCs w:val="32"/>
        </w:rPr>
        <w:t>出较上年有所减少</w:t>
      </w:r>
      <w:r w:rsidRPr="008D7DFA">
        <w:rPr>
          <w:rFonts w:asciiTheme="minorEastAsia" w:hAnsiTheme="minorEastAsia" w:cs="Times New Roman" w:hint="eastAsia"/>
          <w:bCs/>
          <w:kern w:val="44"/>
          <w:sz w:val="32"/>
          <w:szCs w:val="32"/>
        </w:rPr>
        <w:t>。</w:t>
      </w:r>
    </w:p>
    <w:p w:rsidR="00150250" w:rsidRPr="008D7DFA" w:rsidRDefault="00150250" w:rsidP="000307A3">
      <w:pPr>
        <w:pStyle w:val="2"/>
        <w:ind w:firstLineChars="200" w:firstLine="640"/>
        <w:rPr>
          <w:rFonts w:asciiTheme="minorEastAsia" w:eastAsiaTheme="minorEastAsia" w:hAnsiTheme="minorEastAsia" w:cs="Times New Roman"/>
          <w:bCs w:val="0"/>
          <w:kern w:val="44"/>
        </w:rPr>
      </w:pPr>
      <w:bookmarkStart w:id="9" w:name="_Toc488246755"/>
      <w:r w:rsidRPr="008D7DFA">
        <w:rPr>
          <w:rFonts w:ascii="Times New Roman" w:eastAsia="华文楷体" w:hAnsi="华文楷体" w:cs="Times New Roman" w:hint="eastAsia"/>
        </w:rPr>
        <w:lastRenderedPageBreak/>
        <w:t>（二）高等学校收入决算表说明</w:t>
      </w:r>
      <w:bookmarkEnd w:id="9"/>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学校</w:t>
      </w:r>
      <w:r w:rsidR="00D83976" w:rsidRPr="008D7DFA">
        <w:rPr>
          <w:rFonts w:asciiTheme="minorEastAsia" w:hAnsiTheme="minorEastAsia" w:cs="Times New Roman" w:hint="eastAsia"/>
          <w:bCs/>
          <w:kern w:val="44"/>
          <w:sz w:val="32"/>
          <w:szCs w:val="32"/>
        </w:rPr>
        <w:t>2016</w:t>
      </w:r>
      <w:r w:rsidRPr="008D7DFA">
        <w:rPr>
          <w:rFonts w:asciiTheme="minorEastAsia" w:hAnsiTheme="minorEastAsia" w:cs="Times New Roman" w:hint="eastAsia"/>
          <w:bCs/>
          <w:kern w:val="44"/>
          <w:sz w:val="32"/>
          <w:szCs w:val="32"/>
        </w:rPr>
        <w:t>年收入总计</w:t>
      </w:r>
      <w:r w:rsidR="00D83976" w:rsidRPr="008D7DFA">
        <w:rPr>
          <w:rFonts w:asciiTheme="minorEastAsia" w:hAnsiTheme="minorEastAsia" w:cs="Times New Roman"/>
          <w:bCs/>
          <w:kern w:val="44"/>
          <w:sz w:val="32"/>
          <w:szCs w:val="32"/>
        </w:rPr>
        <w:t>108,651.54</w:t>
      </w:r>
      <w:r w:rsidRPr="008D7DFA">
        <w:rPr>
          <w:rFonts w:asciiTheme="minorEastAsia" w:hAnsiTheme="minorEastAsia" w:cs="Times New Roman" w:hint="eastAsia"/>
          <w:bCs/>
          <w:kern w:val="44"/>
          <w:sz w:val="32"/>
          <w:szCs w:val="32"/>
        </w:rPr>
        <w:t>万元，财政</w:t>
      </w:r>
      <w:r w:rsidR="00D83976" w:rsidRPr="008D7DFA">
        <w:rPr>
          <w:rFonts w:asciiTheme="minorEastAsia" w:hAnsiTheme="minorEastAsia" w:cs="Times New Roman" w:hint="eastAsia"/>
          <w:bCs/>
          <w:kern w:val="44"/>
          <w:sz w:val="32"/>
          <w:szCs w:val="32"/>
        </w:rPr>
        <w:t>拨款</w:t>
      </w:r>
      <w:r w:rsidRPr="008D7DFA">
        <w:rPr>
          <w:rFonts w:asciiTheme="minorEastAsia" w:hAnsiTheme="minorEastAsia" w:cs="Times New Roman" w:hint="eastAsia"/>
          <w:bCs/>
          <w:kern w:val="44"/>
          <w:sz w:val="32"/>
          <w:szCs w:val="32"/>
        </w:rPr>
        <w:t>收入</w:t>
      </w:r>
      <w:r w:rsidR="00D83976" w:rsidRPr="008D7DFA">
        <w:rPr>
          <w:rFonts w:asciiTheme="minorEastAsia" w:hAnsiTheme="minorEastAsia" w:cs="Times New Roman" w:hint="eastAsia"/>
          <w:bCs/>
          <w:kern w:val="44"/>
          <w:sz w:val="32"/>
          <w:szCs w:val="32"/>
        </w:rPr>
        <w:t>67,533.17</w:t>
      </w:r>
      <w:r w:rsidRPr="008D7DFA">
        <w:rPr>
          <w:rFonts w:asciiTheme="minorEastAsia" w:hAnsiTheme="minorEastAsia" w:cs="Times New Roman" w:hint="eastAsia"/>
          <w:bCs/>
          <w:kern w:val="44"/>
          <w:sz w:val="32"/>
          <w:szCs w:val="32"/>
        </w:rPr>
        <w:t>万元，占总收入的</w:t>
      </w:r>
      <w:r w:rsidR="00D83976" w:rsidRPr="008D7DFA">
        <w:rPr>
          <w:rFonts w:ascii="宋体" w:hAnsi="宋体" w:cs="Tahoma" w:hint="eastAsia"/>
          <w:color w:val="000000"/>
          <w:kern w:val="0"/>
          <w:sz w:val="32"/>
          <w:szCs w:val="32"/>
        </w:rPr>
        <w:t>62.1</w:t>
      </w:r>
      <w:r w:rsidR="0075672C" w:rsidRPr="008D7DFA">
        <w:rPr>
          <w:rFonts w:ascii="宋体" w:hAnsi="宋体" w:cs="Tahoma" w:hint="eastAsia"/>
          <w:color w:val="000000"/>
          <w:kern w:val="0"/>
          <w:sz w:val="32"/>
          <w:szCs w:val="32"/>
        </w:rPr>
        <w:t>6</w:t>
      </w:r>
      <w:r w:rsidR="00D83976" w:rsidRPr="008D7DFA">
        <w:rPr>
          <w:rFonts w:ascii="宋体" w:hAnsi="宋体" w:cs="Tahoma" w:hint="eastAsia"/>
          <w:color w:val="000000"/>
          <w:kern w:val="0"/>
          <w:sz w:val="32"/>
          <w:szCs w:val="32"/>
        </w:rPr>
        <w:t>%</w:t>
      </w:r>
      <w:r w:rsidRPr="008D7DFA">
        <w:rPr>
          <w:rFonts w:asciiTheme="minorEastAsia" w:hAnsiTheme="minorEastAsia" w:cs="Times New Roman" w:hint="eastAsia"/>
          <w:bCs/>
          <w:kern w:val="44"/>
          <w:sz w:val="32"/>
          <w:szCs w:val="32"/>
        </w:rPr>
        <w:t>；事业收入</w:t>
      </w:r>
      <w:r w:rsidR="00655F36" w:rsidRPr="008D7DFA">
        <w:rPr>
          <w:rFonts w:ascii="宋体" w:hAnsi="宋体" w:cs="Tahoma" w:hint="eastAsia"/>
          <w:color w:val="000000"/>
          <w:kern w:val="0"/>
          <w:sz w:val="32"/>
          <w:szCs w:val="32"/>
        </w:rPr>
        <w:t>29,461.16</w:t>
      </w:r>
      <w:r w:rsidRPr="008D7DFA">
        <w:rPr>
          <w:rFonts w:asciiTheme="minorEastAsia" w:hAnsiTheme="minorEastAsia" w:cs="Times New Roman" w:hint="eastAsia"/>
          <w:bCs/>
          <w:kern w:val="44"/>
          <w:sz w:val="32"/>
          <w:szCs w:val="32"/>
        </w:rPr>
        <w:t>万元，占总收入的</w:t>
      </w:r>
      <w:r w:rsidR="00655F36" w:rsidRPr="008D7DFA">
        <w:rPr>
          <w:rFonts w:ascii="宋体" w:hAnsi="宋体" w:cs="Tahoma" w:hint="eastAsia"/>
          <w:color w:val="000000"/>
          <w:kern w:val="0"/>
          <w:sz w:val="32"/>
          <w:szCs w:val="32"/>
        </w:rPr>
        <w:t>27.11%</w:t>
      </w:r>
      <w:r w:rsidRPr="008D7DFA">
        <w:rPr>
          <w:rFonts w:asciiTheme="minorEastAsia" w:hAnsiTheme="minorEastAsia" w:cs="Times New Roman" w:hint="eastAsia"/>
          <w:bCs/>
          <w:kern w:val="44"/>
          <w:sz w:val="32"/>
          <w:szCs w:val="32"/>
        </w:rPr>
        <w:t>；其他收入</w:t>
      </w:r>
      <w:r w:rsidR="00655F36" w:rsidRPr="008D7DFA">
        <w:rPr>
          <w:rFonts w:ascii="宋体" w:hAnsi="宋体" w:cs="Tahoma" w:hint="eastAsia"/>
          <w:color w:val="000000"/>
          <w:kern w:val="0"/>
          <w:sz w:val="32"/>
          <w:szCs w:val="32"/>
        </w:rPr>
        <w:t>10,790.63</w:t>
      </w:r>
      <w:r w:rsidRPr="008D7DFA">
        <w:rPr>
          <w:rFonts w:asciiTheme="minorEastAsia" w:hAnsiTheme="minorEastAsia" w:cs="Times New Roman" w:hint="eastAsia"/>
          <w:bCs/>
          <w:kern w:val="44"/>
          <w:sz w:val="32"/>
          <w:szCs w:val="32"/>
        </w:rPr>
        <w:t>万元，占总收入的</w:t>
      </w:r>
      <w:r w:rsidR="00655F36" w:rsidRPr="008D7DFA">
        <w:rPr>
          <w:rFonts w:ascii="宋体" w:hAnsi="宋体" w:cs="Tahoma" w:hint="eastAsia"/>
          <w:color w:val="000000"/>
          <w:kern w:val="0"/>
          <w:sz w:val="32"/>
          <w:szCs w:val="32"/>
        </w:rPr>
        <w:t>9.93%</w:t>
      </w:r>
      <w:r w:rsidRPr="008D7DFA">
        <w:rPr>
          <w:rFonts w:asciiTheme="minorEastAsia" w:hAnsiTheme="minorEastAsia" w:cs="Times New Roman" w:hint="eastAsia"/>
          <w:bCs/>
          <w:kern w:val="44"/>
          <w:sz w:val="32"/>
          <w:szCs w:val="32"/>
        </w:rPr>
        <w:t>；经营收入</w:t>
      </w:r>
      <w:r w:rsidR="00655F36" w:rsidRPr="008D7DFA">
        <w:rPr>
          <w:rFonts w:ascii="宋体" w:hAnsi="宋体" w:cs="Tahoma" w:hint="eastAsia"/>
          <w:color w:val="000000"/>
          <w:kern w:val="0"/>
          <w:sz w:val="32"/>
          <w:szCs w:val="32"/>
        </w:rPr>
        <w:t>866.58</w:t>
      </w:r>
      <w:r w:rsidRPr="008D7DFA">
        <w:rPr>
          <w:rFonts w:asciiTheme="minorEastAsia" w:hAnsiTheme="minorEastAsia" w:cs="Times New Roman" w:hint="eastAsia"/>
          <w:bCs/>
          <w:kern w:val="44"/>
          <w:sz w:val="32"/>
          <w:szCs w:val="32"/>
        </w:rPr>
        <w:t>万元，占总收入的</w:t>
      </w:r>
      <w:r w:rsidR="0075672C" w:rsidRPr="008D7DFA">
        <w:rPr>
          <w:rFonts w:ascii="宋体" w:hAnsi="宋体" w:cs="Tahoma" w:hint="eastAsia"/>
          <w:color w:val="000000"/>
          <w:kern w:val="0"/>
          <w:sz w:val="32"/>
          <w:szCs w:val="32"/>
        </w:rPr>
        <w:t>0.80</w:t>
      </w:r>
      <w:r w:rsidR="00655F36" w:rsidRPr="008D7DFA">
        <w:rPr>
          <w:rFonts w:ascii="宋体" w:hAnsi="宋体" w:cs="Tahoma" w:hint="eastAsia"/>
          <w:color w:val="000000"/>
          <w:kern w:val="0"/>
          <w:sz w:val="32"/>
          <w:szCs w:val="32"/>
        </w:rPr>
        <w:t>%</w:t>
      </w:r>
      <w:r w:rsidRPr="008D7DFA">
        <w:rPr>
          <w:rFonts w:asciiTheme="minorEastAsia" w:hAnsiTheme="minorEastAsia" w:cs="Times New Roman" w:hint="eastAsia"/>
          <w:bCs/>
          <w:kern w:val="44"/>
          <w:sz w:val="32"/>
          <w:szCs w:val="32"/>
        </w:rPr>
        <w:t>。</w:t>
      </w:r>
    </w:p>
    <w:p w:rsidR="00150250" w:rsidRPr="008D7DFA" w:rsidRDefault="00150250" w:rsidP="000307A3">
      <w:pPr>
        <w:pStyle w:val="2"/>
        <w:ind w:firstLineChars="200" w:firstLine="640"/>
        <w:rPr>
          <w:rFonts w:asciiTheme="minorEastAsia" w:eastAsiaTheme="minorEastAsia" w:hAnsiTheme="minorEastAsia" w:cs="Times New Roman"/>
          <w:bCs w:val="0"/>
          <w:kern w:val="44"/>
        </w:rPr>
      </w:pPr>
      <w:bookmarkStart w:id="10" w:name="_Toc488246756"/>
      <w:r w:rsidRPr="008D7DFA">
        <w:rPr>
          <w:rFonts w:ascii="Times New Roman" w:eastAsia="华文楷体" w:hAnsi="华文楷体" w:cs="Times New Roman" w:hint="eastAsia"/>
        </w:rPr>
        <w:t>（三）高等学校支出决算表说明</w:t>
      </w:r>
      <w:bookmarkEnd w:id="10"/>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学校201</w:t>
      </w:r>
      <w:r w:rsidR="00655F36" w:rsidRPr="008D7DFA">
        <w:rPr>
          <w:rFonts w:asciiTheme="minorEastAsia" w:hAnsiTheme="minorEastAsia" w:cs="Times New Roman" w:hint="eastAsia"/>
          <w:bCs/>
          <w:kern w:val="44"/>
          <w:sz w:val="32"/>
          <w:szCs w:val="32"/>
        </w:rPr>
        <w:t>6</w:t>
      </w:r>
      <w:r w:rsidRPr="008D7DFA">
        <w:rPr>
          <w:rFonts w:asciiTheme="minorEastAsia" w:hAnsiTheme="minorEastAsia" w:cs="Times New Roman" w:hint="eastAsia"/>
          <w:bCs/>
          <w:kern w:val="44"/>
          <w:sz w:val="32"/>
          <w:szCs w:val="32"/>
        </w:rPr>
        <w:t>年各项支出总计</w:t>
      </w:r>
      <w:r w:rsidR="00655F36" w:rsidRPr="008D7DFA">
        <w:rPr>
          <w:rFonts w:asciiTheme="minorEastAsia" w:hAnsiTheme="minorEastAsia"/>
          <w:sz w:val="32"/>
          <w:szCs w:val="32"/>
        </w:rPr>
        <w:t>104,696.17</w:t>
      </w:r>
      <w:r w:rsidRPr="008D7DFA">
        <w:rPr>
          <w:rFonts w:asciiTheme="minorEastAsia" w:hAnsiTheme="minorEastAsia" w:cs="Times New Roman" w:hint="eastAsia"/>
          <w:bCs/>
          <w:kern w:val="44"/>
          <w:sz w:val="32"/>
          <w:szCs w:val="32"/>
        </w:rPr>
        <w:t>万元，其中基本支出</w:t>
      </w:r>
      <w:r w:rsidR="00655F36" w:rsidRPr="008D7DFA">
        <w:rPr>
          <w:rFonts w:asciiTheme="minorEastAsia" w:hAnsiTheme="minorEastAsia" w:cs="Times New Roman" w:hint="eastAsia"/>
          <w:bCs/>
          <w:kern w:val="44"/>
          <w:sz w:val="32"/>
          <w:szCs w:val="32"/>
        </w:rPr>
        <w:t>82,339.69</w:t>
      </w:r>
      <w:r w:rsidRPr="008D7DFA">
        <w:rPr>
          <w:rFonts w:asciiTheme="minorEastAsia" w:hAnsiTheme="minorEastAsia" w:cs="Times New Roman" w:hint="eastAsia"/>
          <w:bCs/>
          <w:kern w:val="44"/>
          <w:sz w:val="32"/>
          <w:szCs w:val="32"/>
        </w:rPr>
        <w:t>万元，占总支出的</w:t>
      </w:r>
      <w:r w:rsidR="00655F36" w:rsidRPr="008D7DFA">
        <w:rPr>
          <w:rFonts w:asciiTheme="minorEastAsia" w:hAnsiTheme="minorEastAsia" w:cs="Times New Roman" w:hint="eastAsia"/>
          <w:bCs/>
          <w:kern w:val="44"/>
          <w:sz w:val="32"/>
          <w:szCs w:val="32"/>
        </w:rPr>
        <w:t>78.65</w:t>
      </w:r>
      <w:r w:rsidRPr="008D7DFA">
        <w:rPr>
          <w:rFonts w:asciiTheme="minorEastAsia" w:hAnsiTheme="minorEastAsia" w:cs="Times New Roman" w:hint="eastAsia"/>
          <w:bCs/>
          <w:kern w:val="44"/>
          <w:sz w:val="32"/>
          <w:szCs w:val="32"/>
        </w:rPr>
        <w:t>%；项目支出</w:t>
      </w:r>
      <w:r w:rsidR="00655F36" w:rsidRPr="008D7DFA">
        <w:rPr>
          <w:rFonts w:asciiTheme="minorEastAsia" w:hAnsiTheme="minorEastAsia" w:cs="Times New Roman" w:hint="eastAsia"/>
          <w:bCs/>
          <w:kern w:val="44"/>
          <w:sz w:val="32"/>
          <w:szCs w:val="32"/>
        </w:rPr>
        <w:t>21,520.31</w:t>
      </w:r>
      <w:r w:rsidRPr="008D7DFA">
        <w:rPr>
          <w:rFonts w:asciiTheme="minorEastAsia" w:hAnsiTheme="minorEastAsia" w:cs="Times New Roman" w:hint="eastAsia"/>
          <w:bCs/>
          <w:kern w:val="44"/>
          <w:sz w:val="32"/>
          <w:szCs w:val="32"/>
        </w:rPr>
        <w:t>万元，占总支出的</w:t>
      </w:r>
      <w:r w:rsidR="00655F36" w:rsidRPr="008D7DFA">
        <w:rPr>
          <w:rFonts w:asciiTheme="minorEastAsia" w:hAnsiTheme="minorEastAsia" w:cs="Times New Roman" w:hint="eastAsia"/>
          <w:bCs/>
          <w:kern w:val="44"/>
          <w:sz w:val="32"/>
          <w:szCs w:val="32"/>
        </w:rPr>
        <w:t>20.5</w:t>
      </w:r>
      <w:r w:rsidR="001919D4" w:rsidRPr="008D7DFA">
        <w:rPr>
          <w:rFonts w:asciiTheme="minorEastAsia" w:hAnsiTheme="minorEastAsia" w:cs="Times New Roman" w:hint="eastAsia"/>
          <w:bCs/>
          <w:kern w:val="44"/>
          <w:sz w:val="32"/>
          <w:szCs w:val="32"/>
        </w:rPr>
        <w:t>5</w:t>
      </w:r>
      <w:r w:rsidRPr="008D7DFA">
        <w:rPr>
          <w:rFonts w:asciiTheme="minorEastAsia" w:hAnsiTheme="minorEastAsia" w:cs="Times New Roman" w:hint="eastAsia"/>
          <w:bCs/>
          <w:kern w:val="44"/>
          <w:sz w:val="32"/>
          <w:szCs w:val="32"/>
        </w:rPr>
        <w:t>%；经营支出</w:t>
      </w:r>
      <w:r w:rsidR="00655F36" w:rsidRPr="008D7DFA">
        <w:rPr>
          <w:rFonts w:asciiTheme="minorEastAsia" w:hAnsiTheme="minorEastAsia" w:cs="Times New Roman" w:hint="eastAsia"/>
          <w:bCs/>
          <w:kern w:val="44"/>
          <w:sz w:val="32"/>
          <w:szCs w:val="32"/>
        </w:rPr>
        <w:t>836.17</w:t>
      </w:r>
      <w:r w:rsidRPr="008D7DFA">
        <w:rPr>
          <w:rFonts w:asciiTheme="minorEastAsia" w:hAnsiTheme="minorEastAsia" w:cs="Times New Roman" w:hint="eastAsia"/>
          <w:bCs/>
          <w:kern w:val="44"/>
          <w:sz w:val="32"/>
          <w:szCs w:val="32"/>
        </w:rPr>
        <w:t>万元，占总支出的0.</w:t>
      </w:r>
      <w:r w:rsidR="001919D4" w:rsidRPr="008D7DFA">
        <w:rPr>
          <w:rFonts w:asciiTheme="minorEastAsia" w:hAnsiTheme="minorEastAsia" w:cs="Times New Roman" w:hint="eastAsia"/>
          <w:bCs/>
          <w:kern w:val="44"/>
          <w:sz w:val="32"/>
          <w:szCs w:val="32"/>
        </w:rPr>
        <w:t>80</w:t>
      </w:r>
      <w:r w:rsidRPr="008D7DFA">
        <w:rPr>
          <w:rFonts w:asciiTheme="minorEastAsia" w:hAnsiTheme="minorEastAsia" w:cs="Times New Roman" w:hint="eastAsia"/>
          <w:bCs/>
          <w:kern w:val="44"/>
          <w:sz w:val="32"/>
          <w:szCs w:val="32"/>
        </w:rPr>
        <w:t>%。</w:t>
      </w:r>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按照支出功能科目划分，一般公共服务支出</w:t>
      </w:r>
      <w:r w:rsidR="00FF0DEA" w:rsidRPr="008D7DFA">
        <w:rPr>
          <w:rFonts w:asciiTheme="minorEastAsia" w:hAnsiTheme="minorEastAsia" w:cs="Times New Roman" w:hint="eastAsia"/>
          <w:bCs/>
          <w:kern w:val="44"/>
          <w:sz w:val="32"/>
          <w:szCs w:val="32"/>
        </w:rPr>
        <w:t>15.72</w:t>
      </w:r>
      <w:r w:rsidRPr="008D7DFA">
        <w:rPr>
          <w:rFonts w:asciiTheme="minorEastAsia" w:hAnsiTheme="minorEastAsia" w:cs="Times New Roman" w:hint="eastAsia"/>
          <w:bCs/>
          <w:kern w:val="44"/>
          <w:sz w:val="32"/>
          <w:szCs w:val="32"/>
        </w:rPr>
        <w:t>万元，占总支出的0.02%；教育支出</w:t>
      </w:r>
      <w:r w:rsidR="00FF0DEA" w:rsidRPr="008D7DFA">
        <w:rPr>
          <w:rFonts w:asciiTheme="minorEastAsia" w:hAnsiTheme="minorEastAsia" w:cs="Times New Roman" w:hint="eastAsia"/>
          <w:bCs/>
          <w:kern w:val="44"/>
          <w:sz w:val="32"/>
          <w:szCs w:val="32"/>
        </w:rPr>
        <w:t>98,925.74</w:t>
      </w:r>
      <w:r w:rsidRPr="008D7DFA">
        <w:rPr>
          <w:rFonts w:asciiTheme="minorEastAsia" w:hAnsiTheme="minorEastAsia" w:cs="Times New Roman" w:hint="eastAsia"/>
          <w:bCs/>
          <w:kern w:val="44"/>
          <w:sz w:val="32"/>
          <w:szCs w:val="32"/>
        </w:rPr>
        <w:t>万元，占总支出的</w:t>
      </w:r>
      <w:r w:rsidR="00FF0DEA" w:rsidRPr="008D7DFA">
        <w:rPr>
          <w:rFonts w:asciiTheme="minorEastAsia" w:hAnsiTheme="minorEastAsia" w:cs="Times New Roman" w:hint="eastAsia"/>
          <w:bCs/>
          <w:kern w:val="44"/>
          <w:sz w:val="32"/>
          <w:szCs w:val="32"/>
        </w:rPr>
        <w:t>94.49</w:t>
      </w:r>
      <w:r w:rsidRPr="008D7DFA">
        <w:rPr>
          <w:rFonts w:asciiTheme="minorEastAsia" w:hAnsiTheme="minorEastAsia" w:cs="Times New Roman" w:hint="eastAsia"/>
          <w:bCs/>
          <w:kern w:val="44"/>
          <w:sz w:val="32"/>
          <w:szCs w:val="32"/>
        </w:rPr>
        <w:t>%；科学技术支出</w:t>
      </w:r>
      <w:r w:rsidR="00FF0DEA" w:rsidRPr="008D7DFA">
        <w:rPr>
          <w:rFonts w:asciiTheme="minorEastAsia" w:hAnsiTheme="minorEastAsia" w:cs="Times New Roman" w:hint="eastAsia"/>
          <w:bCs/>
          <w:kern w:val="44"/>
          <w:sz w:val="32"/>
          <w:szCs w:val="32"/>
        </w:rPr>
        <w:t>915.56</w:t>
      </w:r>
      <w:r w:rsidRPr="008D7DFA">
        <w:rPr>
          <w:rFonts w:asciiTheme="minorEastAsia" w:hAnsiTheme="minorEastAsia" w:cs="Times New Roman" w:hint="eastAsia"/>
          <w:bCs/>
          <w:kern w:val="44"/>
          <w:sz w:val="32"/>
          <w:szCs w:val="32"/>
        </w:rPr>
        <w:t>万元，占总支出的</w:t>
      </w:r>
      <w:r w:rsidR="00FF0DEA" w:rsidRPr="008D7DFA">
        <w:rPr>
          <w:rFonts w:asciiTheme="minorEastAsia" w:hAnsiTheme="minorEastAsia" w:cs="Times New Roman" w:hint="eastAsia"/>
          <w:bCs/>
          <w:kern w:val="44"/>
          <w:sz w:val="32"/>
          <w:szCs w:val="32"/>
        </w:rPr>
        <w:t>0.87</w:t>
      </w:r>
      <w:r w:rsidRPr="008D7DFA">
        <w:rPr>
          <w:rFonts w:asciiTheme="minorEastAsia" w:hAnsiTheme="minorEastAsia" w:cs="Times New Roman" w:hint="eastAsia"/>
          <w:bCs/>
          <w:kern w:val="44"/>
          <w:sz w:val="32"/>
          <w:szCs w:val="32"/>
        </w:rPr>
        <w:t>%；节能环保支出</w:t>
      </w:r>
      <w:r w:rsidR="00FF0DEA" w:rsidRPr="008D7DFA">
        <w:rPr>
          <w:rFonts w:asciiTheme="minorEastAsia" w:hAnsiTheme="minorEastAsia" w:cs="Times New Roman" w:hint="eastAsia"/>
          <w:bCs/>
          <w:kern w:val="44"/>
          <w:sz w:val="32"/>
          <w:szCs w:val="32"/>
        </w:rPr>
        <w:t>210.12</w:t>
      </w:r>
      <w:r w:rsidRPr="008D7DFA">
        <w:rPr>
          <w:rFonts w:asciiTheme="minorEastAsia" w:hAnsiTheme="minorEastAsia" w:cs="Times New Roman" w:hint="eastAsia"/>
          <w:bCs/>
          <w:kern w:val="44"/>
          <w:sz w:val="32"/>
          <w:szCs w:val="32"/>
        </w:rPr>
        <w:t>万元，占总支出的</w:t>
      </w:r>
      <w:r w:rsidR="00FF0DEA" w:rsidRPr="008D7DFA">
        <w:rPr>
          <w:rFonts w:asciiTheme="minorEastAsia" w:hAnsiTheme="minorEastAsia" w:cs="Times New Roman" w:hint="eastAsia"/>
          <w:bCs/>
          <w:kern w:val="44"/>
          <w:sz w:val="32"/>
          <w:szCs w:val="32"/>
        </w:rPr>
        <w:t>0.20</w:t>
      </w:r>
      <w:r w:rsidRPr="008D7DFA">
        <w:rPr>
          <w:rFonts w:asciiTheme="minorEastAsia" w:hAnsiTheme="minorEastAsia" w:cs="Times New Roman" w:hint="eastAsia"/>
          <w:bCs/>
          <w:kern w:val="44"/>
          <w:sz w:val="32"/>
          <w:szCs w:val="32"/>
        </w:rPr>
        <w:t>%；住房保障支出</w:t>
      </w:r>
      <w:r w:rsidR="00FF0DEA" w:rsidRPr="008D7DFA">
        <w:rPr>
          <w:rFonts w:asciiTheme="minorEastAsia" w:hAnsiTheme="minorEastAsia" w:cs="Times New Roman" w:hint="eastAsia"/>
          <w:bCs/>
          <w:kern w:val="44"/>
          <w:sz w:val="32"/>
          <w:szCs w:val="32"/>
        </w:rPr>
        <w:t>4,629.03</w:t>
      </w:r>
      <w:r w:rsidRPr="008D7DFA">
        <w:rPr>
          <w:rFonts w:asciiTheme="minorEastAsia" w:hAnsiTheme="minorEastAsia" w:cs="Times New Roman" w:hint="eastAsia"/>
          <w:bCs/>
          <w:kern w:val="44"/>
          <w:sz w:val="32"/>
          <w:szCs w:val="32"/>
        </w:rPr>
        <w:t>万元，占总支出的</w:t>
      </w:r>
      <w:r w:rsidR="00FF0DEA" w:rsidRPr="008D7DFA">
        <w:rPr>
          <w:rFonts w:asciiTheme="minorEastAsia" w:hAnsiTheme="minorEastAsia" w:cs="Times New Roman" w:hint="eastAsia"/>
          <w:bCs/>
          <w:kern w:val="44"/>
          <w:sz w:val="32"/>
          <w:szCs w:val="32"/>
        </w:rPr>
        <w:t>4.42</w:t>
      </w:r>
      <w:r w:rsidRPr="008D7DFA">
        <w:rPr>
          <w:rFonts w:asciiTheme="minorEastAsia" w:hAnsiTheme="minorEastAsia" w:cs="Times New Roman" w:hint="eastAsia"/>
          <w:bCs/>
          <w:kern w:val="44"/>
          <w:sz w:val="32"/>
          <w:szCs w:val="32"/>
        </w:rPr>
        <w:t>%。</w:t>
      </w:r>
    </w:p>
    <w:p w:rsidR="00150250" w:rsidRPr="008D7DFA" w:rsidRDefault="00150250" w:rsidP="000307A3">
      <w:pPr>
        <w:pStyle w:val="2"/>
        <w:ind w:firstLineChars="200" w:firstLine="640"/>
        <w:rPr>
          <w:rFonts w:asciiTheme="minorEastAsia" w:eastAsiaTheme="minorEastAsia" w:hAnsiTheme="minorEastAsia" w:cs="Times New Roman"/>
          <w:bCs w:val="0"/>
          <w:kern w:val="44"/>
        </w:rPr>
      </w:pPr>
      <w:bookmarkStart w:id="11" w:name="_Toc488246757"/>
      <w:r w:rsidRPr="008D7DFA">
        <w:rPr>
          <w:rFonts w:ascii="Times New Roman" w:eastAsia="华文楷体" w:hAnsi="华文楷体" w:cs="Times New Roman" w:hint="eastAsia"/>
        </w:rPr>
        <w:t>（四）高等学校财政拨款支出决算表说明</w:t>
      </w:r>
      <w:bookmarkEnd w:id="11"/>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学校201</w:t>
      </w:r>
      <w:r w:rsidR="00FF0DEA" w:rsidRPr="008D7DFA">
        <w:rPr>
          <w:rFonts w:asciiTheme="minorEastAsia" w:hAnsiTheme="minorEastAsia" w:cs="Times New Roman" w:hint="eastAsia"/>
          <w:bCs/>
          <w:kern w:val="44"/>
          <w:sz w:val="32"/>
          <w:szCs w:val="32"/>
        </w:rPr>
        <w:t>6</w:t>
      </w:r>
      <w:r w:rsidRPr="008D7DFA">
        <w:rPr>
          <w:rFonts w:asciiTheme="minorEastAsia" w:hAnsiTheme="minorEastAsia" w:cs="Times New Roman" w:hint="eastAsia"/>
          <w:bCs/>
          <w:kern w:val="44"/>
          <w:sz w:val="32"/>
          <w:szCs w:val="32"/>
        </w:rPr>
        <w:t>年财政拨款支出总计为</w:t>
      </w:r>
      <w:r w:rsidR="00FF0DEA" w:rsidRPr="008D7DFA">
        <w:rPr>
          <w:rFonts w:asciiTheme="minorEastAsia" w:hAnsiTheme="minorEastAsia" w:cs="Times New Roman" w:hint="eastAsia"/>
          <w:bCs/>
          <w:kern w:val="44"/>
          <w:sz w:val="32"/>
          <w:szCs w:val="32"/>
        </w:rPr>
        <w:t>63,909.21</w:t>
      </w:r>
      <w:r w:rsidRPr="008D7DFA">
        <w:rPr>
          <w:rFonts w:asciiTheme="minorEastAsia" w:hAnsiTheme="minorEastAsia" w:cs="Times New Roman" w:hint="eastAsia"/>
          <w:bCs/>
          <w:kern w:val="44"/>
          <w:sz w:val="32"/>
          <w:szCs w:val="32"/>
        </w:rPr>
        <w:t>万元，其中基本支出</w:t>
      </w:r>
      <w:r w:rsidR="00094606" w:rsidRPr="008D7DFA">
        <w:rPr>
          <w:rFonts w:asciiTheme="minorEastAsia" w:hAnsiTheme="minorEastAsia" w:cs="Times New Roman" w:hint="eastAsia"/>
          <w:bCs/>
          <w:kern w:val="44"/>
          <w:sz w:val="32"/>
          <w:szCs w:val="32"/>
        </w:rPr>
        <w:t>45,589.96</w:t>
      </w:r>
      <w:r w:rsidRPr="008D7DFA">
        <w:rPr>
          <w:rFonts w:asciiTheme="minorEastAsia" w:hAnsiTheme="minorEastAsia" w:cs="Times New Roman" w:hint="eastAsia"/>
          <w:bCs/>
          <w:kern w:val="44"/>
          <w:sz w:val="32"/>
          <w:szCs w:val="32"/>
        </w:rPr>
        <w:t>万元，占总支出的</w:t>
      </w:r>
      <w:r w:rsidR="00094606" w:rsidRPr="008D7DFA">
        <w:rPr>
          <w:rFonts w:asciiTheme="minorEastAsia" w:hAnsiTheme="minorEastAsia" w:cs="Times New Roman" w:hint="eastAsia"/>
          <w:bCs/>
          <w:kern w:val="44"/>
          <w:sz w:val="32"/>
          <w:szCs w:val="32"/>
        </w:rPr>
        <w:t>71.34</w:t>
      </w:r>
      <w:r w:rsidR="00136735" w:rsidRPr="008D7DFA">
        <w:rPr>
          <w:rFonts w:asciiTheme="minorEastAsia" w:hAnsiTheme="minorEastAsia" w:cs="Times New Roman" w:hint="eastAsia"/>
          <w:bCs/>
          <w:kern w:val="44"/>
          <w:sz w:val="32"/>
          <w:szCs w:val="32"/>
        </w:rPr>
        <w:t>%</w:t>
      </w:r>
      <w:r w:rsidRPr="008D7DFA">
        <w:rPr>
          <w:rFonts w:asciiTheme="minorEastAsia" w:hAnsiTheme="minorEastAsia" w:cs="Times New Roman" w:hint="eastAsia"/>
          <w:bCs/>
          <w:kern w:val="44"/>
          <w:sz w:val="32"/>
          <w:szCs w:val="32"/>
        </w:rPr>
        <w:t>；项目支出</w:t>
      </w:r>
      <w:r w:rsidR="00094606" w:rsidRPr="008D7DFA">
        <w:rPr>
          <w:rFonts w:asciiTheme="minorEastAsia" w:hAnsiTheme="minorEastAsia" w:cs="Times New Roman" w:hint="eastAsia"/>
          <w:bCs/>
          <w:kern w:val="44"/>
          <w:sz w:val="32"/>
          <w:szCs w:val="32"/>
        </w:rPr>
        <w:t>18,319.25</w:t>
      </w:r>
      <w:r w:rsidRPr="008D7DFA">
        <w:rPr>
          <w:rFonts w:asciiTheme="minorEastAsia" w:hAnsiTheme="minorEastAsia" w:cs="Times New Roman" w:hint="eastAsia"/>
          <w:bCs/>
          <w:kern w:val="44"/>
          <w:sz w:val="32"/>
          <w:szCs w:val="32"/>
        </w:rPr>
        <w:t>万元，占总支出的</w:t>
      </w:r>
      <w:r w:rsidR="00094606" w:rsidRPr="008D7DFA">
        <w:rPr>
          <w:rFonts w:asciiTheme="minorEastAsia" w:hAnsiTheme="minorEastAsia" w:cs="Times New Roman" w:hint="eastAsia"/>
          <w:bCs/>
          <w:kern w:val="44"/>
          <w:sz w:val="32"/>
          <w:szCs w:val="32"/>
        </w:rPr>
        <w:t>28.66</w:t>
      </w:r>
      <w:r w:rsidRPr="008D7DFA">
        <w:rPr>
          <w:rFonts w:asciiTheme="minorEastAsia" w:hAnsiTheme="minorEastAsia" w:cs="Times New Roman" w:hint="eastAsia"/>
          <w:bCs/>
          <w:kern w:val="44"/>
          <w:sz w:val="32"/>
          <w:szCs w:val="32"/>
        </w:rPr>
        <w:t>%。具体包括：</w:t>
      </w:r>
    </w:p>
    <w:p w:rsidR="00094606"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1.一般行政管理事务（2050102），</w:t>
      </w:r>
      <w:r w:rsidR="00094606" w:rsidRPr="008D7DFA">
        <w:rPr>
          <w:rFonts w:asciiTheme="minorEastAsia" w:hAnsiTheme="minorEastAsia" w:cs="Times New Roman" w:hint="eastAsia"/>
          <w:bCs/>
          <w:kern w:val="44"/>
          <w:sz w:val="32"/>
          <w:szCs w:val="32"/>
        </w:rPr>
        <w:t>2016年决算数为3.00</w:t>
      </w:r>
      <w:r w:rsidR="00755C30" w:rsidRPr="008D7DFA">
        <w:rPr>
          <w:rFonts w:asciiTheme="minorEastAsia" w:hAnsiTheme="minorEastAsia" w:cs="Times New Roman" w:hint="eastAsia"/>
          <w:bCs/>
          <w:kern w:val="44"/>
          <w:sz w:val="32"/>
          <w:szCs w:val="32"/>
        </w:rPr>
        <w:lastRenderedPageBreak/>
        <w:t>万元，较</w:t>
      </w:r>
      <w:r w:rsidRPr="008D7DFA">
        <w:rPr>
          <w:rFonts w:asciiTheme="minorEastAsia" w:hAnsiTheme="minorEastAsia" w:cs="Times New Roman" w:hint="eastAsia"/>
          <w:bCs/>
          <w:kern w:val="44"/>
          <w:sz w:val="32"/>
          <w:szCs w:val="32"/>
        </w:rPr>
        <w:t>2015</w:t>
      </w:r>
      <w:r w:rsidR="00094606" w:rsidRPr="008D7DFA">
        <w:rPr>
          <w:rFonts w:asciiTheme="minorEastAsia" w:hAnsiTheme="minorEastAsia" w:cs="Times New Roman" w:hint="eastAsia"/>
          <w:bCs/>
          <w:kern w:val="44"/>
          <w:sz w:val="32"/>
          <w:szCs w:val="32"/>
        </w:rPr>
        <w:t>年决算数</w:t>
      </w:r>
      <w:r w:rsidR="00755C30" w:rsidRPr="008D7DFA">
        <w:rPr>
          <w:rFonts w:asciiTheme="minorEastAsia" w:hAnsiTheme="minorEastAsia" w:cs="Times New Roman" w:hint="eastAsia"/>
          <w:bCs/>
          <w:kern w:val="44"/>
          <w:sz w:val="32"/>
          <w:szCs w:val="32"/>
        </w:rPr>
        <w:t>6.00万元</w:t>
      </w:r>
      <w:r w:rsidR="00094606" w:rsidRPr="008D7DFA">
        <w:rPr>
          <w:rFonts w:asciiTheme="minorEastAsia" w:hAnsiTheme="minorEastAsia" w:cs="Times New Roman" w:hint="eastAsia"/>
          <w:bCs/>
          <w:kern w:val="44"/>
          <w:sz w:val="32"/>
          <w:szCs w:val="32"/>
        </w:rPr>
        <w:t>减少3</w:t>
      </w:r>
      <w:r w:rsidRPr="008D7DFA">
        <w:rPr>
          <w:rFonts w:asciiTheme="minorEastAsia" w:hAnsiTheme="minorEastAsia" w:cs="Times New Roman" w:hint="eastAsia"/>
          <w:bCs/>
          <w:kern w:val="44"/>
          <w:sz w:val="32"/>
          <w:szCs w:val="32"/>
        </w:rPr>
        <w:t>.00万元，</w:t>
      </w:r>
      <w:r w:rsidR="00755C30" w:rsidRPr="008D7DFA">
        <w:rPr>
          <w:rFonts w:asciiTheme="minorEastAsia" w:hAnsiTheme="minorEastAsia" w:cs="Times New Roman" w:hint="eastAsia"/>
          <w:bCs/>
          <w:kern w:val="44"/>
          <w:sz w:val="32"/>
          <w:szCs w:val="32"/>
        </w:rPr>
        <w:t>减幅50%。</w:t>
      </w:r>
      <w:r w:rsidR="00094606" w:rsidRPr="008D7DFA">
        <w:rPr>
          <w:rFonts w:asciiTheme="minorEastAsia" w:hAnsiTheme="minorEastAsia" w:cs="Times New Roman" w:hint="eastAsia"/>
          <w:bCs/>
          <w:kern w:val="44"/>
          <w:sz w:val="32"/>
          <w:szCs w:val="32"/>
        </w:rPr>
        <w:t>主要是外事管理事务专项支出较上年有所减少。</w:t>
      </w:r>
    </w:p>
    <w:p w:rsidR="00D979DB" w:rsidRPr="008D7DFA" w:rsidRDefault="00094606"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 xml:space="preserve"> </w:t>
      </w:r>
      <w:r w:rsidR="00150250" w:rsidRPr="008D7DFA">
        <w:rPr>
          <w:rFonts w:asciiTheme="minorEastAsia" w:hAnsiTheme="minorEastAsia" w:cs="Times New Roman" w:hint="eastAsia"/>
          <w:bCs/>
          <w:kern w:val="44"/>
          <w:sz w:val="32"/>
          <w:szCs w:val="32"/>
        </w:rPr>
        <w:t>2.高等教育（2050205），</w:t>
      </w:r>
      <w:r w:rsidR="004A1158" w:rsidRPr="008D7DFA">
        <w:rPr>
          <w:rFonts w:asciiTheme="minorEastAsia" w:hAnsiTheme="minorEastAsia" w:cs="Times New Roman" w:hint="eastAsia"/>
          <w:bCs/>
          <w:kern w:val="44"/>
          <w:sz w:val="32"/>
          <w:szCs w:val="32"/>
        </w:rPr>
        <w:t>2016年决算数为58,083.70万元，较</w:t>
      </w:r>
      <w:r w:rsidR="00150250" w:rsidRPr="008D7DFA">
        <w:rPr>
          <w:rFonts w:asciiTheme="minorEastAsia" w:hAnsiTheme="minorEastAsia" w:cs="Times New Roman" w:hint="eastAsia"/>
          <w:bCs/>
          <w:kern w:val="44"/>
          <w:sz w:val="32"/>
          <w:szCs w:val="32"/>
        </w:rPr>
        <w:t>2015</w:t>
      </w:r>
      <w:r w:rsidR="004A1158" w:rsidRPr="008D7DFA">
        <w:rPr>
          <w:rFonts w:asciiTheme="minorEastAsia" w:hAnsiTheme="minorEastAsia" w:cs="Times New Roman" w:hint="eastAsia"/>
          <w:bCs/>
          <w:kern w:val="44"/>
          <w:sz w:val="32"/>
          <w:szCs w:val="32"/>
        </w:rPr>
        <w:t>年决算数</w:t>
      </w:r>
      <w:r w:rsidR="00150250" w:rsidRPr="008D7DFA">
        <w:rPr>
          <w:rFonts w:asciiTheme="minorEastAsia" w:hAnsiTheme="minorEastAsia" w:cs="Times New Roman" w:hint="eastAsia"/>
          <w:bCs/>
          <w:kern w:val="44"/>
          <w:sz w:val="32"/>
          <w:szCs w:val="32"/>
        </w:rPr>
        <w:t>62,224.31</w:t>
      </w:r>
      <w:r w:rsidR="004A1158" w:rsidRPr="008D7DFA">
        <w:rPr>
          <w:rFonts w:asciiTheme="minorEastAsia" w:hAnsiTheme="minorEastAsia" w:cs="Times New Roman" w:hint="eastAsia"/>
          <w:bCs/>
          <w:kern w:val="44"/>
          <w:sz w:val="32"/>
          <w:szCs w:val="32"/>
        </w:rPr>
        <w:t>万元减少4,140.61万元，减幅6.65</w:t>
      </w:r>
      <w:r w:rsidR="00150250" w:rsidRPr="008D7DFA">
        <w:rPr>
          <w:rFonts w:asciiTheme="minorEastAsia" w:hAnsiTheme="minorEastAsia" w:cs="Times New Roman" w:hint="eastAsia"/>
          <w:bCs/>
          <w:kern w:val="44"/>
          <w:sz w:val="32"/>
          <w:szCs w:val="32"/>
        </w:rPr>
        <w:t>%。</w:t>
      </w:r>
      <w:r w:rsidR="0069331C" w:rsidRPr="008D7DFA">
        <w:rPr>
          <w:rFonts w:asciiTheme="minorEastAsia" w:hAnsiTheme="minorEastAsia" w:cs="Times New Roman" w:hint="eastAsia"/>
          <w:bCs/>
          <w:kern w:val="44"/>
          <w:sz w:val="32"/>
          <w:szCs w:val="32"/>
        </w:rPr>
        <w:t>主要原因</w:t>
      </w:r>
      <w:r w:rsidR="00E21BA9" w:rsidRPr="008D7DFA">
        <w:rPr>
          <w:rFonts w:asciiTheme="minorEastAsia" w:hAnsiTheme="minorEastAsia" w:cs="Times New Roman" w:hint="eastAsia"/>
          <w:bCs/>
          <w:kern w:val="44"/>
          <w:sz w:val="32"/>
          <w:szCs w:val="32"/>
        </w:rPr>
        <w:t>：</w:t>
      </w:r>
      <w:r w:rsidR="00150250" w:rsidRPr="008D7DFA">
        <w:rPr>
          <w:rFonts w:asciiTheme="minorEastAsia" w:hAnsiTheme="minorEastAsia" w:cs="Times New Roman" w:hint="eastAsia"/>
          <w:bCs/>
          <w:kern w:val="44"/>
          <w:sz w:val="32"/>
          <w:szCs w:val="32"/>
        </w:rPr>
        <w:t>一是高等教育项目支出</w:t>
      </w:r>
      <w:r w:rsidR="004B2ED6" w:rsidRPr="008D7DFA">
        <w:rPr>
          <w:rFonts w:asciiTheme="minorEastAsia" w:hAnsiTheme="minorEastAsia" w:cs="Times New Roman" w:hint="eastAsia"/>
          <w:bCs/>
          <w:kern w:val="44"/>
          <w:sz w:val="32"/>
          <w:szCs w:val="32"/>
        </w:rPr>
        <w:t>减少</w:t>
      </w:r>
      <w:r w:rsidR="00150250" w:rsidRPr="008D7DFA">
        <w:rPr>
          <w:rFonts w:asciiTheme="minorEastAsia" w:hAnsiTheme="minorEastAsia" w:cs="Times New Roman" w:hint="eastAsia"/>
          <w:bCs/>
          <w:kern w:val="44"/>
          <w:sz w:val="32"/>
          <w:szCs w:val="32"/>
        </w:rPr>
        <w:t>，其中：行政事业类项目支出</w:t>
      </w:r>
      <w:r w:rsidR="0040459E" w:rsidRPr="008D7DFA">
        <w:rPr>
          <w:rFonts w:asciiTheme="minorEastAsia" w:hAnsiTheme="minorEastAsia" w:cs="Times New Roman" w:hint="eastAsia"/>
          <w:bCs/>
          <w:kern w:val="44"/>
          <w:sz w:val="32"/>
          <w:szCs w:val="32"/>
        </w:rPr>
        <w:t>中的</w:t>
      </w:r>
      <w:r w:rsidR="00150250" w:rsidRPr="008D7DFA">
        <w:rPr>
          <w:rFonts w:asciiTheme="minorEastAsia" w:hAnsiTheme="minorEastAsia" w:cs="Times New Roman" w:hint="eastAsia"/>
          <w:bCs/>
          <w:kern w:val="44"/>
          <w:sz w:val="32"/>
          <w:szCs w:val="32"/>
        </w:rPr>
        <w:t>改善办学条件专项、捐赠配比专项支出较上年</w:t>
      </w:r>
      <w:r w:rsidR="0040459E" w:rsidRPr="008D7DFA">
        <w:rPr>
          <w:rFonts w:asciiTheme="minorEastAsia" w:hAnsiTheme="minorEastAsia" w:cs="Times New Roman" w:hint="eastAsia"/>
          <w:bCs/>
          <w:kern w:val="44"/>
          <w:sz w:val="32"/>
          <w:szCs w:val="32"/>
        </w:rPr>
        <w:t>减幅较大</w:t>
      </w:r>
      <w:r w:rsidR="004B2ED6" w:rsidRPr="008D7DFA">
        <w:rPr>
          <w:rFonts w:asciiTheme="minorEastAsia" w:hAnsiTheme="minorEastAsia" w:cs="Times New Roman" w:hint="eastAsia"/>
          <w:bCs/>
          <w:kern w:val="44"/>
          <w:sz w:val="32"/>
          <w:szCs w:val="32"/>
        </w:rPr>
        <w:t>，</w:t>
      </w:r>
      <w:r w:rsidR="00150250" w:rsidRPr="008D7DFA">
        <w:rPr>
          <w:rFonts w:asciiTheme="minorEastAsia" w:hAnsiTheme="minorEastAsia" w:cs="Times New Roman" w:hint="eastAsia"/>
          <w:bCs/>
          <w:kern w:val="44"/>
          <w:sz w:val="32"/>
          <w:szCs w:val="32"/>
        </w:rPr>
        <w:t>基本建设项目支出较上年</w:t>
      </w:r>
      <w:r w:rsidR="004B2ED6" w:rsidRPr="008D7DFA">
        <w:rPr>
          <w:rFonts w:asciiTheme="minorEastAsia" w:hAnsiTheme="minorEastAsia" w:cs="Times New Roman" w:hint="eastAsia"/>
          <w:bCs/>
          <w:kern w:val="44"/>
          <w:sz w:val="32"/>
          <w:szCs w:val="32"/>
        </w:rPr>
        <w:t>有所减少</w:t>
      </w:r>
      <w:r w:rsidR="002C0016" w:rsidRPr="008D7DFA">
        <w:rPr>
          <w:rFonts w:asciiTheme="minorEastAsia" w:hAnsiTheme="minorEastAsia" w:cs="Times New Roman" w:hint="eastAsia"/>
          <w:bCs/>
          <w:kern w:val="44"/>
          <w:sz w:val="32"/>
          <w:szCs w:val="32"/>
        </w:rPr>
        <w:t>。</w:t>
      </w:r>
      <w:r w:rsidR="00150250" w:rsidRPr="008D7DFA">
        <w:rPr>
          <w:rFonts w:asciiTheme="minorEastAsia" w:hAnsiTheme="minorEastAsia" w:cs="Times New Roman" w:hint="eastAsia"/>
          <w:bCs/>
          <w:kern w:val="44"/>
          <w:sz w:val="32"/>
          <w:szCs w:val="32"/>
        </w:rPr>
        <w:t>二是高等教育基本支出较上年有所增加，</w:t>
      </w:r>
      <w:r w:rsidR="002C0016" w:rsidRPr="008D7DFA">
        <w:rPr>
          <w:rFonts w:asciiTheme="minorEastAsia" w:hAnsiTheme="minorEastAsia" w:cs="Times New Roman" w:hint="eastAsia"/>
          <w:bCs/>
          <w:kern w:val="44"/>
          <w:sz w:val="32"/>
          <w:szCs w:val="32"/>
        </w:rPr>
        <w:t>其中，高等教育人员支出较上年增加较多，</w:t>
      </w:r>
      <w:r w:rsidR="00D979DB" w:rsidRPr="008D7DFA">
        <w:rPr>
          <w:rFonts w:asciiTheme="minorEastAsia" w:hAnsiTheme="minorEastAsia" w:cs="Times New Roman" w:hint="eastAsia"/>
          <w:bCs/>
          <w:kern w:val="44"/>
          <w:sz w:val="32"/>
          <w:szCs w:val="32"/>
        </w:rPr>
        <w:t>主要是学校根据国家相关文件，调整在职人员基本工资标准和绩效工资；助学金拨款由项目转为基本，因此助学金基本支出增加；</w:t>
      </w:r>
      <w:r w:rsidR="002C0016" w:rsidRPr="008D7DFA">
        <w:rPr>
          <w:rFonts w:asciiTheme="minorEastAsia" w:hAnsiTheme="minorEastAsia" w:cs="Times New Roman" w:hint="eastAsia"/>
          <w:bCs/>
          <w:kern w:val="44"/>
          <w:sz w:val="32"/>
          <w:szCs w:val="32"/>
        </w:rPr>
        <w:t>高等教育公用支出较上年有所减少，主要是商品和服务支出减少。</w:t>
      </w:r>
    </w:p>
    <w:p w:rsidR="00150250" w:rsidRPr="008D7DFA" w:rsidRDefault="00150250" w:rsidP="009A5687">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3.来华留学教育（2050602），</w:t>
      </w:r>
      <w:r w:rsidR="002C0016" w:rsidRPr="008D7DFA">
        <w:rPr>
          <w:rFonts w:asciiTheme="minorEastAsia" w:hAnsiTheme="minorEastAsia" w:cs="Times New Roman" w:hint="eastAsia"/>
          <w:bCs/>
          <w:kern w:val="44"/>
          <w:sz w:val="32"/>
          <w:szCs w:val="32"/>
        </w:rPr>
        <w:t>2016年决算数为652.98万元，</w:t>
      </w:r>
      <w:r w:rsidR="004E4F5E" w:rsidRPr="008D7DFA">
        <w:rPr>
          <w:rFonts w:asciiTheme="minorEastAsia" w:hAnsiTheme="minorEastAsia" w:cs="Times New Roman" w:hint="eastAsia"/>
          <w:bCs/>
          <w:kern w:val="44"/>
          <w:sz w:val="32"/>
          <w:szCs w:val="32"/>
        </w:rPr>
        <w:t>较</w:t>
      </w:r>
      <w:r w:rsidRPr="008D7DFA">
        <w:rPr>
          <w:rFonts w:asciiTheme="minorEastAsia" w:hAnsiTheme="minorEastAsia" w:cs="Times New Roman" w:hint="eastAsia"/>
          <w:bCs/>
          <w:kern w:val="44"/>
          <w:sz w:val="32"/>
          <w:szCs w:val="32"/>
        </w:rPr>
        <w:t>2015</w:t>
      </w:r>
      <w:r w:rsidR="004E4F5E" w:rsidRPr="008D7DFA">
        <w:rPr>
          <w:rFonts w:asciiTheme="minorEastAsia" w:hAnsiTheme="minorEastAsia" w:cs="Times New Roman" w:hint="eastAsia"/>
          <w:bCs/>
          <w:kern w:val="44"/>
          <w:sz w:val="32"/>
          <w:szCs w:val="32"/>
        </w:rPr>
        <w:t>年决算数</w:t>
      </w:r>
      <w:r w:rsidRPr="008D7DFA">
        <w:rPr>
          <w:rFonts w:asciiTheme="minorEastAsia" w:hAnsiTheme="minorEastAsia" w:cs="Times New Roman" w:hint="eastAsia"/>
          <w:bCs/>
          <w:kern w:val="44"/>
          <w:sz w:val="32"/>
          <w:szCs w:val="32"/>
        </w:rPr>
        <w:t>804.11</w:t>
      </w:r>
      <w:r w:rsidR="004E4F5E" w:rsidRPr="008D7DFA">
        <w:rPr>
          <w:rFonts w:asciiTheme="minorEastAsia" w:hAnsiTheme="minorEastAsia" w:cs="Times New Roman" w:hint="eastAsia"/>
          <w:bCs/>
          <w:kern w:val="44"/>
          <w:sz w:val="32"/>
          <w:szCs w:val="32"/>
        </w:rPr>
        <w:t>万元减少151.13万元，减幅18.79%</w:t>
      </w:r>
      <w:r w:rsidRPr="008D7DFA">
        <w:rPr>
          <w:rFonts w:asciiTheme="minorEastAsia" w:hAnsiTheme="minorEastAsia" w:cs="Times New Roman" w:hint="eastAsia"/>
          <w:bCs/>
          <w:kern w:val="44"/>
          <w:sz w:val="32"/>
          <w:szCs w:val="32"/>
        </w:rPr>
        <w:t>。主要原因</w:t>
      </w:r>
      <w:r w:rsidR="00B07700" w:rsidRPr="008D7DFA">
        <w:rPr>
          <w:rFonts w:asciiTheme="minorEastAsia" w:hAnsiTheme="minorEastAsia" w:cs="Times New Roman" w:hint="eastAsia"/>
          <w:bCs/>
          <w:kern w:val="44"/>
          <w:sz w:val="32"/>
          <w:szCs w:val="32"/>
        </w:rPr>
        <w:t>是</w:t>
      </w:r>
      <w:r w:rsidR="00BF5B5D" w:rsidRPr="008D7DFA">
        <w:rPr>
          <w:rFonts w:asciiTheme="minorEastAsia" w:hAnsiTheme="minorEastAsia" w:cs="Times New Roman" w:hint="eastAsia"/>
          <w:bCs/>
          <w:kern w:val="44"/>
          <w:sz w:val="32"/>
          <w:szCs w:val="32"/>
        </w:rPr>
        <w:t>留学生游学等活动</w:t>
      </w:r>
      <w:r w:rsidR="00B07700" w:rsidRPr="008D7DFA">
        <w:rPr>
          <w:rFonts w:asciiTheme="minorEastAsia" w:hAnsiTheme="minorEastAsia" w:cs="Times New Roman" w:hint="eastAsia"/>
          <w:bCs/>
          <w:kern w:val="44"/>
          <w:sz w:val="32"/>
          <w:szCs w:val="32"/>
        </w:rPr>
        <w:t>有所</w:t>
      </w:r>
      <w:r w:rsidR="00BF5B5D" w:rsidRPr="008D7DFA">
        <w:rPr>
          <w:rFonts w:asciiTheme="minorEastAsia" w:hAnsiTheme="minorEastAsia" w:cs="Times New Roman" w:hint="eastAsia"/>
          <w:bCs/>
          <w:kern w:val="44"/>
          <w:sz w:val="32"/>
          <w:szCs w:val="32"/>
        </w:rPr>
        <w:t>减少，参加出国教育展次数减少。</w:t>
      </w:r>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4.其他教育支出（2059999），</w:t>
      </w:r>
      <w:r w:rsidR="004E4F5E" w:rsidRPr="008D7DFA">
        <w:rPr>
          <w:rFonts w:asciiTheme="minorEastAsia" w:hAnsiTheme="minorEastAsia" w:cs="Times New Roman" w:hint="eastAsia"/>
          <w:bCs/>
          <w:kern w:val="44"/>
          <w:sz w:val="32"/>
          <w:szCs w:val="32"/>
        </w:rPr>
        <w:t>2016年决算数为306.53万元，较</w:t>
      </w:r>
      <w:r w:rsidRPr="008D7DFA">
        <w:rPr>
          <w:rFonts w:asciiTheme="minorEastAsia" w:hAnsiTheme="minorEastAsia" w:cs="Times New Roman" w:hint="eastAsia"/>
          <w:bCs/>
          <w:kern w:val="44"/>
          <w:sz w:val="32"/>
          <w:szCs w:val="32"/>
        </w:rPr>
        <w:t>2015</w:t>
      </w:r>
      <w:r w:rsidR="004E4F5E" w:rsidRPr="008D7DFA">
        <w:rPr>
          <w:rFonts w:asciiTheme="minorEastAsia" w:hAnsiTheme="minorEastAsia" w:cs="Times New Roman" w:hint="eastAsia"/>
          <w:bCs/>
          <w:kern w:val="44"/>
          <w:sz w:val="32"/>
          <w:szCs w:val="32"/>
        </w:rPr>
        <w:t>年决算数</w:t>
      </w:r>
      <w:r w:rsidRPr="008D7DFA">
        <w:rPr>
          <w:rFonts w:asciiTheme="minorEastAsia" w:hAnsiTheme="minorEastAsia" w:cs="Times New Roman" w:hint="eastAsia"/>
          <w:bCs/>
          <w:kern w:val="44"/>
          <w:sz w:val="32"/>
          <w:szCs w:val="32"/>
        </w:rPr>
        <w:t>99.88</w:t>
      </w:r>
      <w:r w:rsidR="004E4F5E" w:rsidRPr="008D7DFA">
        <w:rPr>
          <w:rFonts w:asciiTheme="minorEastAsia" w:hAnsiTheme="minorEastAsia" w:cs="Times New Roman" w:hint="eastAsia"/>
          <w:bCs/>
          <w:kern w:val="44"/>
          <w:sz w:val="32"/>
          <w:szCs w:val="32"/>
        </w:rPr>
        <w:t>万元增加206.65万元，增幅206.90</w:t>
      </w:r>
      <w:r w:rsidRPr="008D7DFA">
        <w:rPr>
          <w:rFonts w:asciiTheme="minorEastAsia" w:hAnsiTheme="minorEastAsia" w:cs="Times New Roman" w:hint="eastAsia"/>
          <w:bCs/>
          <w:kern w:val="44"/>
          <w:sz w:val="32"/>
          <w:szCs w:val="32"/>
        </w:rPr>
        <w:t>%。主要原因</w:t>
      </w:r>
      <w:r w:rsidR="009A5687" w:rsidRPr="008D7DFA">
        <w:rPr>
          <w:rFonts w:asciiTheme="minorEastAsia" w:hAnsiTheme="minorEastAsia" w:cs="Times New Roman" w:hint="eastAsia"/>
          <w:bCs/>
          <w:kern w:val="44"/>
          <w:sz w:val="32"/>
          <w:szCs w:val="32"/>
        </w:rPr>
        <w:t>一</w:t>
      </w:r>
      <w:r w:rsidRPr="008D7DFA">
        <w:rPr>
          <w:rFonts w:asciiTheme="minorEastAsia" w:hAnsiTheme="minorEastAsia" w:cs="Times New Roman" w:hint="eastAsia"/>
          <w:bCs/>
          <w:kern w:val="44"/>
          <w:sz w:val="32"/>
          <w:szCs w:val="32"/>
        </w:rPr>
        <w:t>是学校201</w:t>
      </w:r>
      <w:r w:rsidR="004E4F5E" w:rsidRPr="008D7DFA">
        <w:rPr>
          <w:rFonts w:asciiTheme="minorEastAsia" w:hAnsiTheme="minorEastAsia" w:cs="Times New Roman" w:hint="eastAsia"/>
          <w:bCs/>
          <w:kern w:val="44"/>
          <w:sz w:val="32"/>
          <w:szCs w:val="32"/>
        </w:rPr>
        <w:t>6</w:t>
      </w:r>
      <w:r w:rsidR="009A5687" w:rsidRPr="008D7DFA">
        <w:rPr>
          <w:rFonts w:asciiTheme="minorEastAsia" w:hAnsiTheme="minorEastAsia" w:cs="Times New Roman" w:hint="eastAsia"/>
          <w:bCs/>
          <w:kern w:val="44"/>
          <w:sz w:val="32"/>
          <w:szCs w:val="32"/>
        </w:rPr>
        <w:t>年收到一次性教师申报的其他教育类研究项目较上年大幅增加，二是2016年支出中有2015年其他教育类研究项目的结转资金。</w:t>
      </w:r>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5.机构运行（2060201），</w:t>
      </w:r>
      <w:r w:rsidR="004E4F5E" w:rsidRPr="008D7DFA">
        <w:rPr>
          <w:rFonts w:asciiTheme="minorEastAsia" w:hAnsiTheme="minorEastAsia" w:cs="Times New Roman" w:hint="eastAsia"/>
          <w:bCs/>
          <w:kern w:val="44"/>
          <w:sz w:val="32"/>
          <w:szCs w:val="32"/>
        </w:rPr>
        <w:t>2015年决算数为505万元，</w:t>
      </w:r>
      <w:r w:rsidR="004E4F5E" w:rsidRPr="008D7DFA">
        <w:rPr>
          <w:rFonts w:asciiTheme="minorEastAsia" w:hAnsiTheme="minorEastAsia" w:cs="Times New Roman" w:hint="eastAsia"/>
          <w:bCs/>
          <w:kern w:val="44"/>
          <w:sz w:val="32"/>
          <w:szCs w:val="32"/>
        </w:rPr>
        <w:lastRenderedPageBreak/>
        <w:t>而2016年</w:t>
      </w:r>
      <w:r w:rsidR="00EC7E73" w:rsidRPr="008D7DFA">
        <w:rPr>
          <w:rFonts w:asciiTheme="minorEastAsia" w:hAnsiTheme="minorEastAsia" w:cs="Times New Roman" w:hint="eastAsia"/>
          <w:bCs/>
          <w:kern w:val="44"/>
          <w:sz w:val="32"/>
          <w:szCs w:val="32"/>
        </w:rPr>
        <w:t>我校没有该项支出，因为无此类拨款</w:t>
      </w:r>
      <w:r w:rsidR="004E4F5E" w:rsidRPr="008D7DFA">
        <w:rPr>
          <w:rFonts w:asciiTheme="minorEastAsia" w:hAnsiTheme="minorEastAsia" w:cs="Times New Roman" w:hint="eastAsia"/>
          <w:bCs/>
          <w:kern w:val="44"/>
          <w:sz w:val="32"/>
          <w:szCs w:val="32"/>
        </w:rPr>
        <w:t>。</w:t>
      </w:r>
    </w:p>
    <w:p w:rsidR="00EC7E73"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6.其他基础研究支出（2060299），</w:t>
      </w:r>
      <w:r w:rsidR="00EC7E73" w:rsidRPr="008D7DFA">
        <w:rPr>
          <w:rFonts w:asciiTheme="minorEastAsia" w:hAnsiTheme="minorEastAsia" w:cs="Times New Roman" w:hint="eastAsia"/>
          <w:bCs/>
          <w:kern w:val="44"/>
          <w:sz w:val="32"/>
          <w:szCs w:val="32"/>
        </w:rPr>
        <w:t>2016年决算数为915.56万元，较</w:t>
      </w:r>
      <w:r w:rsidRPr="008D7DFA">
        <w:rPr>
          <w:rFonts w:asciiTheme="minorEastAsia" w:hAnsiTheme="minorEastAsia" w:cs="Times New Roman" w:hint="eastAsia"/>
          <w:bCs/>
          <w:kern w:val="44"/>
          <w:sz w:val="32"/>
          <w:szCs w:val="32"/>
        </w:rPr>
        <w:t>2015年决算数2,028.85万元</w:t>
      </w:r>
      <w:r w:rsidR="00EC7E73" w:rsidRPr="008D7DFA">
        <w:rPr>
          <w:rFonts w:asciiTheme="minorEastAsia" w:hAnsiTheme="minorEastAsia" w:cs="Times New Roman" w:hint="eastAsia"/>
          <w:bCs/>
          <w:kern w:val="44"/>
          <w:sz w:val="32"/>
          <w:szCs w:val="32"/>
        </w:rPr>
        <w:t>减少1,113.29万元，减幅54.87%</w:t>
      </w:r>
      <w:r w:rsidRPr="008D7DFA">
        <w:rPr>
          <w:rFonts w:asciiTheme="minorEastAsia" w:hAnsiTheme="minorEastAsia" w:cs="Times New Roman" w:hint="eastAsia"/>
          <w:bCs/>
          <w:kern w:val="44"/>
          <w:sz w:val="32"/>
          <w:szCs w:val="32"/>
        </w:rPr>
        <w:t>。主要原因是</w:t>
      </w:r>
      <w:r w:rsidR="00EC7E73" w:rsidRPr="008D7DFA">
        <w:rPr>
          <w:rFonts w:asciiTheme="minorEastAsia" w:hAnsiTheme="minorEastAsia" w:cs="Times New Roman" w:hint="eastAsia"/>
          <w:bCs/>
          <w:kern w:val="44"/>
          <w:sz w:val="32"/>
          <w:szCs w:val="32"/>
        </w:rPr>
        <w:t>我校2016年没有此类拨款，2016年支出数为使用2015年以206科研补助项目方式下达“2011”司法文明专项的结转资金。</w:t>
      </w:r>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7.能源节约利用（2111001），</w:t>
      </w:r>
      <w:r w:rsidR="00EC7E73" w:rsidRPr="008D7DFA">
        <w:rPr>
          <w:rFonts w:asciiTheme="minorEastAsia" w:hAnsiTheme="minorEastAsia" w:cs="Times New Roman" w:hint="eastAsia"/>
          <w:bCs/>
          <w:kern w:val="44"/>
          <w:sz w:val="32"/>
          <w:szCs w:val="32"/>
        </w:rPr>
        <w:t>2016年决算数为210.12万元，较</w:t>
      </w:r>
      <w:r w:rsidRPr="008D7DFA">
        <w:rPr>
          <w:rFonts w:asciiTheme="minorEastAsia" w:hAnsiTheme="minorEastAsia" w:cs="Times New Roman" w:hint="eastAsia"/>
          <w:bCs/>
          <w:kern w:val="44"/>
          <w:sz w:val="32"/>
          <w:szCs w:val="32"/>
        </w:rPr>
        <w:t>2015</w:t>
      </w:r>
      <w:r w:rsidR="00EC7E73" w:rsidRPr="008D7DFA">
        <w:rPr>
          <w:rFonts w:asciiTheme="minorEastAsia" w:hAnsiTheme="minorEastAsia" w:cs="Times New Roman" w:hint="eastAsia"/>
          <w:bCs/>
          <w:kern w:val="44"/>
          <w:sz w:val="32"/>
          <w:szCs w:val="32"/>
        </w:rPr>
        <w:t>年决算数</w:t>
      </w:r>
      <w:r w:rsidRPr="008D7DFA">
        <w:rPr>
          <w:rFonts w:asciiTheme="minorEastAsia" w:hAnsiTheme="minorEastAsia" w:cs="Times New Roman" w:hint="eastAsia"/>
          <w:bCs/>
          <w:kern w:val="44"/>
          <w:sz w:val="32"/>
          <w:szCs w:val="32"/>
        </w:rPr>
        <w:t>89.88万元</w:t>
      </w:r>
      <w:r w:rsidR="00EC7E73" w:rsidRPr="008D7DFA">
        <w:rPr>
          <w:rFonts w:asciiTheme="minorEastAsia" w:hAnsiTheme="minorEastAsia" w:cs="Times New Roman" w:hint="eastAsia"/>
          <w:bCs/>
          <w:kern w:val="44"/>
          <w:sz w:val="32"/>
          <w:szCs w:val="32"/>
        </w:rPr>
        <w:t>增加</w:t>
      </w:r>
      <w:r w:rsidR="00AE72C7" w:rsidRPr="008D7DFA">
        <w:rPr>
          <w:rFonts w:asciiTheme="minorEastAsia" w:hAnsiTheme="minorEastAsia" w:cs="Times New Roman" w:hint="eastAsia"/>
          <w:bCs/>
          <w:kern w:val="44"/>
          <w:sz w:val="32"/>
          <w:szCs w:val="32"/>
        </w:rPr>
        <w:t>120.24万元</w:t>
      </w:r>
      <w:r w:rsidRPr="008D7DFA">
        <w:rPr>
          <w:rFonts w:asciiTheme="minorEastAsia" w:hAnsiTheme="minorEastAsia" w:cs="Times New Roman" w:hint="eastAsia"/>
          <w:bCs/>
          <w:kern w:val="44"/>
          <w:sz w:val="32"/>
          <w:szCs w:val="32"/>
        </w:rPr>
        <w:t>，</w:t>
      </w:r>
      <w:r w:rsidR="00AE72C7" w:rsidRPr="008D7DFA">
        <w:rPr>
          <w:rFonts w:asciiTheme="minorEastAsia" w:hAnsiTheme="minorEastAsia" w:cs="Times New Roman" w:hint="eastAsia"/>
          <w:bCs/>
          <w:kern w:val="44"/>
          <w:sz w:val="32"/>
          <w:szCs w:val="32"/>
        </w:rPr>
        <w:t>增幅133.78%。该项目是2014年底拨入的一次性节能环保项目，2015年、2016年均没有拨款，</w:t>
      </w:r>
      <w:r w:rsidR="00A7676A" w:rsidRPr="008D7DFA">
        <w:rPr>
          <w:rFonts w:asciiTheme="minorEastAsia" w:hAnsiTheme="minorEastAsia" w:cs="Times New Roman" w:hint="eastAsia"/>
          <w:bCs/>
          <w:kern w:val="44"/>
          <w:sz w:val="32"/>
          <w:szCs w:val="32"/>
        </w:rPr>
        <w:t>支出数</w:t>
      </w:r>
      <w:r w:rsidR="00EC105F" w:rsidRPr="008D7DFA">
        <w:rPr>
          <w:rFonts w:asciiTheme="minorEastAsia" w:hAnsiTheme="minorEastAsia" w:cs="Times New Roman" w:hint="eastAsia"/>
          <w:bCs/>
          <w:kern w:val="44"/>
          <w:sz w:val="32"/>
          <w:szCs w:val="32"/>
        </w:rPr>
        <w:t>均</w:t>
      </w:r>
      <w:r w:rsidR="00A7676A" w:rsidRPr="008D7DFA">
        <w:rPr>
          <w:rFonts w:asciiTheme="minorEastAsia" w:hAnsiTheme="minorEastAsia" w:cs="Times New Roman" w:hint="eastAsia"/>
          <w:bCs/>
          <w:kern w:val="44"/>
          <w:sz w:val="32"/>
          <w:szCs w:val="32"/>
        </w:rPr>
        <w:t>为使用</w:t>
      </w:r>
      <w:r w:rsidR="00AE72C7" w:rsidRPr="008D7DFA">
        <w:rPr>
          <w:rFonts w:asciiTheme="minorEastAsia" w:hAnsiTheme="minorEastAsia" w:cs="Times New Roman" w:hint="eastAsia"/>
          <w:bCs/>
          <w:kern w:val="44"/>
          <w:sz w:val="32"/>
          <w:szCs w:val="32"/>
        </w:rPr>
        <w:t>该项目</w:t>
      </w:r>
      <w:r w:rsidR="00A7676A" w:rsidRPr="008D7DFA">
        <w:rPr>
          <w:rFonts w:asciiTheme="minorEastAsia" w:hAnsiTheme="minorEastAsia" w:cs="Times New Roman" w:hint="eastAsia"/>
          <w:bCs/>
          <w:kern w:val="44"/>
          <w:sz w:val="32"/>
          <w:szCs w:val="32"/>
        </w:rPr>
        <w:t>结转资金</w:t>
      </w:r>
      <w:r w:rsidRPr="008D7DFA">
        <w:rPr>
          <w:rFonts w:asciiTheme="minorEastAsia" w:hAnsiTheme="minorEastAsia" w:cs="Times New Roman" w:hint="eastAsia"/>
          <w:bCs/>
          <w:kern w:val="44"/>
          <w:sz w:val="32"/>
          <w:szCs w:val="32"/>
        </w:rPr>
        <w:t>。</w:t>
      </w:r>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8.住房公积金（2210201），</w:t>
      </w:r>
      <w:r w:rsidR="00EC105F" w:rsidRPr="008D7DFA">
        <w:rPr>
          <w:rFonts w:asciiTheme="minorEastAsia" w:hAnsiTheme="minorEastAsia" w:cs="Times New Roman" w:hint="eastAsia"/>
          <w:bCs/>
          <w:kern w:val="44"/>
          <w:sz w:val="32"/>
          <w:szCs w:val="32"/>
        </w:rPr>
        <w:t>2016年决算数为1,617.00万元，较</w:t>
      </w:r>
      <w:r w:rsidRPr="008D7DFA">
        <w:rPr>
          <w:rFonts w:asciiTheme="minorEastAsia" w:hAnsiTheme="minorEastAsia" w:cs="Times New Roman" w:hint="eastAsia"/>
          <w:bCs/>
          <w:kern w:val="44"/>
          <w:sz w:val="32"/>
          <w:szCs w:val="32"/>
        </w:rPr>
        <w:t>2015年决算数1,297.00万元</w:t>
      </w:r>
      <w:r w:rsidR="00EC105F" w:rsidRPr="008D7DFA">
        <w:rPr>
          <w:rFonts w:asciiTheme="minorEastAsia" w:hAnsiTheme="minorEastAsia" w:cs="Times New Roman" w:hint="eastAsia"/>
          <w:bCs/>
          <w:kern w:val="44"/>
          <w:sz w:val="32"/>
          <w:szCs w:val="32"/>
        </w:rPr>
        <w:t>增加320万元，增幅24.67%。</w:t>
      </w:r>
      <w:r w:rsidRPr="008D7DFA">
        <w:rPr>
          <w:rFonts w:asciiTheme="minorEastAsia" w:hAnsiTheme="minorEastAsia" w:cs="Times New Roman" w:hint="eastAsia"/>
          <w:bCs/>
          <w:kern w:val="44"/>
          <w:sz w:val="32"/>
          <w:szCs w:val="32"/>
        </w:rPr>
        <w:t>主要原因是学校201</w:t>
      </w:r>
      <w:r w:rsidR="00EC105F" w:rsidRPr="008D7DFA">
        <w:rPr>
          <w:rFonts w:asciiTheme="minorEastAsia" w:hAnsiTheme="minorEastAsia" w:cs="Times New Roman" w:hint="eastAsia"/>
          <w:bCs/>
          <w:kern w:val="44"/>
          <w:sz w:val="32"/>
          <w:szCs w:val="32"/>
        </w:rPr>
        <w:t>6</w:t>
      </w:r>
      <w:r w:rsidRPr="008D7DFA">
        <w:rPr>
          <w:rFonts w:asciiTheme="minorEastAsia" w:hAnsiTheme="minorEastAsia" w:cs="Times New Roman" w:hint="eastAsia"/>
          <w:bCs/>
          <w:kern w:val="44"/>
          <w:sz w:val="32"/>
          <w:szCs w:val="32"/>
        </w:rPr>
        <w:t>年收到财政拨入的公积金拨款较201</w:t>
      </w:r>
      <w:r w:rsidR="00EC105F" w:rsidRPr="008D7DFA">
        <w:rPr>
          <w:rFonts w:asciiTheme="minorEastAsia" w:hAnsiTheme="minorEastAsia" w:cs="Times New Roman" w:hint="eastAsia"/>
          <w:bCs/>
          <w:kern w:val="44"/>
          <w:sz w:val="32"/>
          <w:szCs w:val="32"/>
        </w:rPr>
        <w:t>5</w:t>
      </w:r>
      <w:r w:rsidRPr="008D7DFA">
        <w:rPr>
          <w:rFonts w:asciiTheme="minorEastAsia" w:hAnsiTheme="minorEastAsia" w:cs="Times New Roman" w:hint="eastAsia"/>
          <w:bCs/>
          <w:kern w:val="44"/>
          <w:sz w:val="32"/>
          <w:szCs w:val="32"/>
        </w:rPr>
        <w:t>年有所增加。</w:t>
      </w:r>
    </w:p>
    <w:p w:rsidR="00150250" w:rsidRPr="008D7DFA"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9.提租补贴（2210202），</w:t>
      </w:r>
      <w:r w:rsidR="00EC105F" w:rsidRPr="008D7DFA">
        <w:rPr>
          <w:rFonts w:asciiTheme="minorEastAsia" w:hAnsiTheme="minorEastAsia" w:cs="Times New Roman" w:hint="eastAsia"/>
          <w:bCs/>
          <w:kern w:val="44"/>
          <w:sz w:val="32"/>
          <w:szCs w:val="32"/>
        </w:rPr>
        <w:t>2016年决算数为320.00万元，较</w:t>
      </w:r>
      <w:r w:rsidRPr="008D7DFA">
        <w:rPr>
          <w:rFonts w:asciiTheme="minorEastAsia" w:hAnsiTheme="minorEastAsia" w:cs="Times New Roman" w:hint="eastAsia"/>
          <w:bCs/>
          <w:kern w:val="44"/>
          <w:sz w:val="32"/>
          <w:szCs w:val="32"/>
        </w:rPr>
        <w:t>2015</w:t>
      </w:r>
      <w:r w:rsidR="00EC105F" w:rsidRPr="008D7DFA">
        <w:rPr>
          <w:rFonts w:asciiTheme="minorEastAsia" w:hAnsiTheme="minorEastAsia" w:cs="Times New Roman" w:hint="eastAsia"/>
          <w:bCs/>
          <w:kern w:val="44"/>
          <w:sz w:val="32"/>
          <w:szCs w:val="32"/>
        </w:rPr>
        <w:t>年决算数</w:t>
      </w:r>
      <w:r w:rsidRPr="008D7DFA">
        <w:rPr>
          <w:rFonts w:asciiTheme="minorEastAsia" w:hAnsiTheme="minorEastAsia" w:cs="Times New Roman" w:hint="eastAsia"/>
          <w:bCs/>
          <w:kern w:val="44"/>
          <w:sz w:val="32"/>
          <w:szCs w:val="32"/>
        </w:rPr>
        <w:t>243.00万元</w:t>
      </w:r>
      <w:r w:rsidR="00EC105F" w:rsidRPr="008D7DFA">
        <w:rPr>
          <w:rFonts w:asciiTheme="minorEastAsia" w:hAnsiTheme="minorEastAsia" w:cs="Times New Roman" w:hint="eastAsia"/>
          <w:bCs/>
          <w:kern w:val="44"/>
          <w:sz w:val="32"/>
          <w:szCs w:val="32"/>
        </w:rPr>
        <w:t>增加77万元</w:t>
      </w:r>
      <w:r w:rsidRPr="008D7DFA">
        <w:rPr>
          <w:rFonts w:asciiTheme="minorEastAsia" w:hAnsiTheme="minorEastAsia" w:cs="Times New Roman" w:hint="eastAsia"/>
          <w:bCs/>
          <w:kern w:val="44"/>
          <w:sz w:val="32"/>
          <w:szCs w:val="32"/>
        </w:rPr>
        <w:t>，</w:t>
      </w:r>
      <w:r w:rsidR="00EC105F" w:rsidRPr="008D7DFA">
        <w:rPr>
          <w:rFonts w:asciiTheme="minorEastAsia" w:hAnsiTheme="minorEastAsia" w:cs="Times New Roman" w:hint="eastAsia"/>
          <w:bCs/>
          <w:kern w:val="44"/>
          <w:sz w:val="32"/>
          <w:szCs w:val="32"/>
        </w:rPr>
        <w:t>增幅31.69%。</w:t>
      </w:r>
      <w:r w:rsidRPr="008D7DFA">
        <w:rPr>
          <w:rFonts w:asciiTheme="minorEastAsia" w:hAnsiTheme="minorEastAsia" w:cs="Times New Roman" w:hint="eastAsia"/>
          <w:bCs/>
          <w:kern w:val="44"/>
          <w:sz w:val="32"/>
          <w:szCs w:val="32"/>
        </w:rPr>
        <w:t>主要原因是学校201</w:t>
      </w:r>
      <w:r w:rsidR="00EC105F" w:rsidRPr="008D7DFA">
        <w:rPr>
          <w:rFonts w:asciiTheme="minorEastAsia" w:hAnsiTheme="minorEastAsia" w:cs="Times New Roman" w:hint="eastAsia"/>
          <w:bCs/>
          <w:kern w:val="44"/>
          <w:sz w:val="32"/>
          <w:szCs w:val="32"/>
        </w:rPr>
        <w:t>6</w:t>
      </w:r>
      <w:r w:rsidRPr="008D7DFA">
        <w:rPr>
          <w:rFonts w:asciiTheme="minorEastAsia" w:hAnsiTheme="minorEastAsia" w:cs="Times New Roman" w:hint="eastAsia"/>
          <w:bCs/>
          <w:kern w:val="44"/>
          <w:sz w:val="32"/>
          <w:szCs w:val="32"/>
        </w:rPr>
        <w:t>年收到财政拨入的提租补贴拨款较201</w:t>
      </w:r>
      <w:r w:rsidR="00EC105F" w:rsidRPr="008D7DFA">
        <w:rPr>
          <w:rFonts w:asciiTheme="minorEastAsia" w:hAnsiTheme="minorEastAsia" w:cs="Times New Roman" w:hint="eastAsia"/>
          <w:bCs/>
          <w:kern w:val="44"/>
          <w:sz w:val="32"/>
          <w:szCs w:val="32"/>
        </w:rPr>
        <w:t>5</w:t>
      </w:r>
      <w:r w:rsidRPr="008D7DFA">
        <w:rPr>
          <w:rFonts w:asciiTheme="minorEastAsia" w:hAnsiTheme="minorEastAsia" w:cs="Times New Roman" w:hint="eastAsia"/>
          <w:bCs/>
          <w:kern w:val="44"/>
          <w:sz w:val="32"/>
          <w:szCs w:val="32"/>
        </w:rPr>
        <w:t>年</w:t>
      </w:r>
      <w:r w:rsidR="00EC105F" w:rsidRPr="008D7DFA">
        <w:rPr>
          <w:rFonts w:asciiTheme="minorEastAsia" w:hAnsiTheme="minorEastAsia" w:cs="Times New Roman" w:hint="eastAsia"/>
          <w:bCs/>
          <w:kern w:val="44"/>
          <w:sz w:val="32"/>
          <w:szCs w:val="32"/>
        </w:rPr>
        <w:t>有所增加</w:t>
      </w:r>
      <w:r w:rsidRPr="008D7DFA">
        <w:rPr>
          <w:rFonts w:asciiTheme="minorEastAsia" w:hAnsiTheme="minorEastAsia" w:cs="Times New Roman" w:hint="eastAsia"/>
          <w:bCs/>
          <w:kern w:val="44"/>
          <w:sz w:val="32"/>
          <w:szCs w:val="32"/>
        </w:rPr>
        <w:t>。</w:t>
      </w:r>
    </w:p>
    <w:p w:rsidR="00150250" w:rsidRPr="000307A3" w:rsidRDefault="00150250" w:rsidP="00150250">
      <w:pPr>
        <w:ind w:firstLineChars="200" w:firstLine="640"/>
        <w:rPr>
          <w:rFonts w:asciiTheme="minorEastAsia" w:hAnsiTheme="minorEastAsia" w:cs="Times New Roman"/>
          <w:bCs/>
          <w:kern w:val="44"/>
          <w:sz w:val="32"/>
          <w:szCs w:val="32"/>
        </w:rPr>
      </w:pPr>
      <w:r w:rsidRPr="008D7DFA">
        <w:rPr>
          <w:rFonts w:asciiTheme="minorEastAsia" w:hAnsiTheme="minorEastAsia" w:cs="Times New Roman" w:hint="eastAsia"/>
          <w:bCs/>
          <w:kern w:val="44"/>
          <w:sz w:val="32"/>
          <w:szCs w:val="32"/>
        </w:rPr>
        <w:t>10.购房补贴（2210203），</w:t>
      </w:r>
      <w:r w:rsidR="00B33351" w:rsidRPr="008D7DFA">
        <w:rPr>
          <w:rFonts w:asciiTheme="minorEastAsia" w:hAnsiTheme="minorEastAsia" w:cs="Times New Roman" w:hint="eastAsia"/>
          <w:bCs/>
          <w:kern w:val="44"/>
          <w:sz w:val="32"/>
          <w:szCs w:val="32"/>
        </w:rPr>
        <w:t>2016年决算数为1800.32万元，较</w:t>
      </w:r>
      <w:r w:rsidRPr="008D7DFA">
        <w:rPr>
          <w:rFonts w:asciiTheme="minorEastAsia" w:hAnsiTheme="minorEastAsia" w:cs="Times New Roman" w:hint="eastAsia"/>
          <w:bCs/>
          <w:kern w:val="44"/>
          <w:sz w:val="32"/>
          <w:szCs w:val="32"/>
        </w:rPr>
        <w:t>2015</w:t>
      </w:r>
      <w:r w:rsidR="00B33351" w:rsidRPr="008D7DFA">
        <w:rPr>
          <w:rFonts w:asciiTheme="minorEastAsia" w:hAnsiTheme="minorEastAsia" w:cs="Times New Roman" w:hint="eastAsia"/>
          <w:bCs/>
          <w:kern w:val="44"/>
          <w:sz w:val="32"/>
          <w:szCs w:val="32"/>
        </w:rPr>
        <w:t>年决算数</w:t>
      </w:r>
      <w:r w:rsidRPr="008D7DFA">
        <w:rPr>
          <w:rFonts w:asciiTheme="minorEastAsia" w:hAnsiTheme="minorEastAsia" w:cs="Times New Roman" w:hint="eastAsia"/>
          <w:bCs/>
          <w:kern w:val="44"/>
          <w:sz w:val="32"/>
          <w:szCs w:val="32"/>
        </w:rPr>
        <w:t>730.00万元</w:t>
      </w:r>
      <w:r w:rsidR="00B33351" w:rsidRPr="008D7DFA">
        <w:rPr>
          <w:rFonts w:asciiTheme="minorEastAsia" w:hAnsiTheme="minorEastAsia" w:cs="Times New Roman" w:hint="eastAsia"/>
          <w:bCs/>
          <w:kern w:val="44"/>
          <w:sz w:val="32"/>
          <w:szCs w:val="32"/>
        </w:rPr>
        <w:t>增加1,070.32万元，增幅146.62%。</w:t>
      </w:r>
      <w:r w:rsidRPr="008D7DFA">
        <w:rPr>
          <w:rFonts w:asciiTheme="minorEastAsia" w:hAnsiTheme="minorEastAsia" w:cs="Times New Roman" w:hint="eastAsia"/>
          <w:bCs/>
          <w:kern w:val="44"/>
          <w:sz w:val="32"/>
          <w:szCs w:val="32"/>
        </w:rPr>
        <w:t>主要原因是学校201</w:t>
      </w:r>
      <w:r w:rsidR="00B33351" w:rsidRPr="008D7DFA">
        <w:rPr>
          <w:rFonts w:asciiTheme="minorEastAsia" w:hAnsiTheme="minorEastAsia" w:cs="Times New Roman" w:hint="eastAsia"/>
          <w:bCs/>
          <w:kern w:val="44"/>
          <w:sz w:val="32"/>
          <w:szCs w:val="32"/>
        </w:rPr>
        <w:t>6</w:t>
      </w:r>
      <w:r w:rsidRPr="008D7DFA">
        <w:rPr>
          <w:rFonts w:asciiTheme="minorEastAsia" w:hAnsiTheme="minorEastAsia" w:cs="Times New Roman" w:hint="eastAsia"/>
          <w:bCs/>
          <w:kern w:val="44"/>
          <w:sz w:val="32"/>
          <w:szCs w:val="32"/>
        </w:rPr>
        <w:t>年收到财政拨入的购房补</w:t>
      </w:r>
      <w:r w:rsidRPr="008D7DFA">
        <w:rPr>
          <w:rFonts w:asciiTheme="minorEastAsia" w:hAnsiTheme="minorEastAsia" w:cs="Times New Roman" w:hint="eastAsia"/>
          <w:bCs/>
          <w:kern w:val="44"/>
          <w:sz w:val="32"/>
          <w:szCs w:val="32"/>
        </w:rPr>
        <w:lastRenderedPageBreak/>
        <w:t>贴拨款较201</w:t>
      </w:r>
      <w:r w:rsidR="00B33351" w:rsidRPr="008D7DFA">
        <w:rPr>
          <w:rFonts w:asciiTheme="minorEastAsia" w:hAnsiTheme="minorEastAsia" w:cs="Times New Roman" w:hint="eastAsia"/>
          <w:bCs/>
          <w:kern w:val="44"/>
          <w:sz w:val="32"/>
          <w:szCs w:val="32"/>
        </w:rPr>
        <w:t>5</w:t>
      </w:r>
      <w:r w:rsidR="009A5687" w:rsidRPr="008D7DFA">
        <w:rPr>
          <w:rFonts w:asciiTheme="minorEastAsia" w:hAnsiTheme="minorEastAsia" w:cs="Times New Roman" w:hint="eastAsia"/>
          <w:bCs/>
          <w:kern w:val="44"/>
          <w:sz w:val="32"/>
          <w:szCs w:val="32"/>
        </w:rPr>
        <w:t>年有所增加，增加数主要用于发放住房级差补贴等。</w:t>
      </w:r>
    </w:p>
    <w:p w:rsidR="00150250" w:rsidRPr="000307A3" w:rsidRDefault="00150250" w:rsidP="000307A3">
      <w:pPr>
        <w:pStyle w:val="1"/>
        <w:ind w:firstLineChars="200" w:firstLine="643"/>
        <w:rPr>
          <w:rFonts w:ascii="Times New Roman" w:eastAsia="黑体" w:hAnsi="黑体" w:cs="Times New Roman"/>
          <w:sz w:val="32"/>
          <w:szCs w:val="32"/>
        </w:rPr>
      </w:pPr>
      <w:bookmarkStart w:id="12" w:name="_Toc488246758"/>
      <w:r w:rsidRPr="000307A3">
        <w:rPr>
          <w:rFonts w:ascii="Times New Roman" w:eastAsia="黑体" w:hAnsi="黑体" w:cs="Times New Roman" w:hint="eastAsia"/>
          <w:sz w:val="32"/>
          <w:szCs w:val="32"/>
        </w:rPr>
        <w:t>四、名词解释</w:t>
      </w:r>
      <w:bookmarkEnd w:id="12"/>
    </w:p>
    <w:p w:rsidR="00150250" w:rsidRPr="000307A3" w:rsidRDefault="00150250" w:rsidP="000307A3">
      <w:pPr>
        <w:pStyle w:val="2"/>
        <w:ind w:firstLineChars="200" w:firstLine="640"/>
        <w:rPr>
          <w:rFonts w:asciiTheme="minorEastAsia" w:eastAsiaTheme="minorEastAsia" w:hAnsiTheme="minorEastAsia" w:cs="Times New Roman"/>
          <w:bCs w:val="0"/>
          <w:kern w:val="44"/>
        </w:rPr>
      </w:pPr>
      <w:bookmarkStart w:id="13" w:name="_Toc488246759"/>
      <w:r w:rsidRPr="000307A3">
        <w:rPr>
          <w:rFonts w:ascii="Times New Roman" w:eastAsia="华文楷体" w:hAnsi="华文楷体" w:cs="Times New Roman" w:hint="eastAsia"/>
        </w:rPr>
        <w:t>（一）支出功能分类科目说明</w:t>
      </w:r>
      <w:bookmarkEnd w:id="13"/>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决算收支表中的“科目名称”和“科目编码”是指在政府收支分类体系中按照支出功能分类划分的各项内容，是综合反映政府职能活动的分类，其中：</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1.</w:t>
      </w:r>
      <w:r w:rsidR="00B25D29" w:rsidRPr="00B25D29">
        <w:rPr>
          <w:rFonts w:hint="eastAsia"/>
        </w:rPr>
        <w:t xml:space="preserve"> </w:t>
      </w:r>
      <w:r w:rsidR="00B25D29" w:rsidRPr="00B25D29">
        <w:rPr>
          <w:rFonts w:asciiTheme="minorEastAsia" w:hAnsiTheme="minorEastAsia" w:cs="Times New Roman" w:hint="eastAsia"/>
          <w:bCs/>
          <w:kern w:val="44"/>
          <w:sz w:val="32"/>
          <w:szCs w:val="32"/>
        </w:rPr>
        <w:t>一般行政管理事务（2050102）：反映行政单位（包括实行公务员管理的事业单位）未单独设置项级科目的其他项目支出。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2.高等教育（2050205）：</w:t>
      </w:r>
      <w:r w:rsidR="00B25D29" w:rsidRPr="00B25D29">
        <w:rPr>
          <w:rFonts w:asciiTheme="minorEastAsia" w:hAnsiTheme="minorEastAsia" w:cs="Times New Roman" w:hint="eastAsia"/>
          <w:bCs/>
          <w:kern w:val="44"/>
          <w:sz w:val="32"/>
          <w:szCs w:val="32"/>
        </w:rPr>
        <w:t>反映的是经国家批准设立的中央和省、自治区、直辖市各部门所属的全日制普通高等院校（包括研究生）的支出；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3.来华留学教育（2050602）：反映资助来华留学生支出；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4.其他教育支出（2059999）：反映除教育事务管理、普通教育等上述项目以外的其他用于教育方面的支出；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5.机构运行（2060201）：反映从事基础研究和近期无法取得实用价值的应用基础研究机构的基本支出；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6.其他基础研究（2060299）：反映其他用于基础研究</w:t>
      </w:r>
      <w:r w:rsidRPr="000307A3">
        <w:rPr>
          <w:rFonts w:asciiTheme="minorEastAsia" w:hAnsiTheme="minorEastAsia" w:cs="Times New Roman" w:hint="eastAsia"/>
          <w:bCs/>
          <w:kern w:val="44"/>
          <w:sz w:val="32"/>
          <w:szCs w:val="32"/>
        </w:rPr>
        <w:lastRenderedPageBreak/>
        <w:t>工作的支出；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7. 能源节约利用（2111001）：反映用于能源节约利用方面的支出；</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8.住房公积金（2210201）：反映行政事业单位按人力资源和社会保障部、财政部规定的基本工资和津贴补贴以及规定比例为职工缴纳的住房公积金；</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9.提租补贴（2210202）：反映按房改政策规定的标准，行政事业单位向职工（含离退休人员）发放的租金补贴；</w:t>
      </w:r>
    </w:p>
    <w:p w:rsidR="00150250" w:rsidRPr="000307A3" w:rsidRDefault="00150250" w:rsidP="00150250">
      <w:pPr>
        <w:ind w:firstLineChars="200" w:firstLine="640"/>
        <w:rPr>
          <w:rFonts w:asciiTheme="minorEastAsia" w:hAnsiTheme="minorEastAsia" w:cs="Times New Roman"/>
          <w:bCs/>
          <w:kern w:val="44"/>
          <w:sz w:val="32"/>
          <w:szCs w:val="32"/>
        </w:rPr>
      </w:pPr>
      <w:r w:rsidRPr="000307A3">
        <w:rPr>
          <w:rFonts w:asciiTheme="minorEastAsia" w:hAnsiTheme="minorEastAsia" w:cs="Times New Roman" w:hint="eastAsia"/>
          <w:bCs/>
          <w:kern w:val="44"/>
          <w:sz w:val="32"/>
          <w:szCs w:val="32"/>
        </w:rPr>
        <w:t>10.购房补贴（2210203）：反映按房改政策规定，行政事业单位向符合条件职工（含离退休人员）、军队（含武警）向转役复员离退休人员发放的用于购买住房的补贴。</w:t>
      </w:r>
    </w:p>
    <w:p w:rsidR="00150250" w:rsidRPr="000307A3" w:rsidRDefault="00150250" w:rsidP="000307A3">
      <w:pPr>
        <w:pStyle w:val="2"/>
        <w:ind w:firstLineChars="200" w:firstLine="640"/>
        <w:rPr>
          <w:rFonts w:asciiTheme="minorEastAsia" w:eastAsiaTheme="minorEastAsia" w:hAnsiTheme="minorEastAsia" w:cs="Times New Roman"/>
          <w:bCs w:val="0"/>
          <w:kern w:val="44"/>
        </w:rPr>
      </w:pPr>
      <w:bookmarkStart w:id="14" w:name="_Toc488246760"/>
      <w:r w:rsidRPr="000307A3">
        <w:rPr>
          <w:rFonts w:ascii="Times New Roman" w:eastAsia="华文楷体" w:hAnsi="华文楷体" w:cs="Times New Roman" w:hint="eastAsia"/>
        </w:rPr>
        <w:t>（二）收入科目</w:t>
      </w:r>
      <w:bookmarkEnd w:id="14"/>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1.财政拨款收入：指高等学校当年从同级财政部门取得的各类财政拨款。包括财政教育拨款、财政科研拨款和财政其他拨款。</w:t>
      </w:r>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2.上级补助收入：指高等学校从主管部门和上级单位取得的非财政补助收入。</w:t>
      </w:r>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3.事业收入：指高等学校开展教学、科研及其辅助活动取得的收入。包括教育事业收入和科研事业收入。教育事业收入主要包括普通高中学费，普通高中住宿费，高等学校学费，高等学校住宿费，高等学校委托培养费，短训班培训费</w:t>
      </w:r>
      <w:r w:rsidRPr="00B25D29">
        <w:rPr>
          <w:rFonts w:asciiTheme="minorEastAsia" w:hAnsiTheme="minorEastAsia" w:cs="Times New Roman" w:hint="eastAsia"/>
          <w:bCs/>
          <w:kern w:val="44"/>
          <w:sz w:val="32"/>
          <w:szCs w:val="32"/>
        </w:rPr>
        <w:lastRenderedPageBreak/>
        <w:t>和考试考务费；科研事业收入主要包括除教育部财政科研拨款以外的中央和地方科研经费拨款，以及通过承接科研项目、开展科研协作、转化科技成果、进行科技咨询等取得的收入。</w:t>
      </w:r>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4.经营收入：指高等学校在教学、科研活动及其辅助活动之外开展非独立核算经营活动取得的收入。</w:t>
      </w:r>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5.附属单位缴款：指高等学校附属单位按照有关规定上缴的收入。</w:t>
      </w:r>
    </w:p>
    <w:p w:rsidR="00150250" w:rsidRPr="000307A3" w:rsidRDefault="00B25D29" w:rsidP="00B25D29">
      <w:pPr>
        <w:ind w:firstLineChars="200" w:firstLine="640"/>
        <w:rPr>
          <w:rFonts w:asciiTheme="minorEastAsia" w:hAnsiTheme="minorEastAsia" w:cs="Times New Roman"/>
          <w:bCs/>
          <w:kern w:val="44"/>
          <w:sz w:val="32"/>
          <w:szCs w:val="32"/>
        </w:rPr>
      </w:pPr>
      <w:r w:rsidRPr="00B25D29">
        <w:rPr>
          <w:rFonts w:asciiTheme="minorEastAsia" w:hAnsiTheme="minorEastAsia" w:cs="Times New Roman" w:hint="eastAsia"/>
          <w:bCs/>
          <w:kern w:val="44"/>
          <w:sz w:val="32"/>
          <w:szCs w:val="32"/>
        </w:rPr>
        <w:t>6.其他收入:指高等学校取得的除上述收入以外的各项收入，主要包括非同级财政拨款、投资收益、捐赠收入、租金收入、银行存款利息收入、现金盘盈收入和存货盘盈收入等。</w:t>
      </w:r>
    </w:p>
    <w:p w:rsidR="00150250" w:rsidRPr="000307A3" w:rsidRDefault="00150250" w:rsidP="000307A3">
      <w:pPr>
        <w:pStyle w:val="2"/>
        <w:ind w:firstLineChars="200" w:firstLine="640"/>
        <w:rPr>
          <w:rFonts w:asciiTheme="minorEastAsia" w:eastAsiaTheme="minorEastAsia" w:hAnsiTheme="minorEastAsia" w:cs="Times New Roman"/>
          <w:bCs w:val="0"/>
          <w:kern w:val="44"/>
        </w:rPr>
      </w:pPr>
      <w:bookmarkStart w:id="15" w:name="_Toc488246761"/>
      <w:r w:rsidRPr="000307A3">
        <w:rPr>
          <w:rFonts w:ascii="Times New Roman" w:eastAsia="华文楷体" w:hAnsi="华文楷体" w:cs="Times New Roman" w:hint="eastAsia"/>
        </w:rPr>
        <w:t>（三）支出科目</w:t>
      </w:r>
      <w:bookmarkEnd w:id="15"/>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1.基本支出：指高等学校为了保障其正常运转、完成教学科研和其他日常工作任务而发生的支出，包括人员支出和公用支出。</w:t>
      </w:r>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2.项目支出：指高等学校为了完成特定工作任务和事业发展目标，在基本支出之外所发生的支出。</w:t>
      </w:r>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3.上缴上级支出：指高等学校按照财政部门和主管部门的规定上缴上级单位的支出。</w:t>
      </w:r>
      <w:r w:rsidRPr="00B25D29">
        <w:rPr>
          <w:rFonts w:asciiTheme="minorEastAsia" w:hAnsiTheme="minorEastAsia" w:cs="Times New Roman" w:hint="eastAsia"/>
          <w:bCs/>
          <w:kern w:val="44"/>
          <w:sz w:val="32"/>
          <w:szCs w:val="32"/>
        </w:rPr>
        <w:tab/>
      </w:r>
    </w:p>
    <w:p w:rsidR="00B25D29" w:rsidRPr="00B25D29" w:rsidRDefault="00B25D29" w:rsidP="00B25D29">
      <w:pPr>
        <w:ind w:firstLineChars="200" w:firstLine="640"/>
        <w:rPr>
          <w:rFonts w:asciiTheme="minorEastAsia" w:hAnsiTheme="minorEastAsia" w:cs="Times New Roman" w:hint="eastAsia"/>
          <w:bCs/>
          <w:kern w:val="44"/>
          <w:sz w:val="32"/>
          <w:szCs w:val="32"/>
        </w:rPr>
      </w:pPr>
      <w:r w:rsidRPr="00B25D29">
        <w:rPr>
          <w:rFonts w:asciiTheme="minorEastAsia" w:hAnsiTheme="minorEastAsia" w:cs="Times New Roman" w:hint="eastAsia"/>
          <w:bCs/>
          <w:kern w:val="44"/>
          <w:sz w:val="32"/>
          <w:szCs w:val="32"/>
        </w:rPr>
        <w:t>4.经营支出：指高等学校在教学、科研及其辅助活动之外开展非独立核算经营活动发生的支出。</w:t>
      </w:r>
    </w:p>
    <w:p w:rsidR="00700272" w:rsidRPr="000307A3" w:rsidRDefault="00B25D29" w:rsidP="00B25D29">
      <w:pPr>
        <w:ind w:firstLineChars="200" w:firstLine="640"/>
        <w:rPr>
          <w:rFonts w:asciiTheme="minorEastAsia" w:hAnsiTheme="minorEastAsia" w:cs="Times New Roman"/>
          <w:sz w:val="32"/>
          <w:szCs w:val="32"/>
        </w:rPr>
      </w:pPr>
      <w:r w:rsidRPr="00B25D29">
        <w:rPr>
          <w:rFonts w:asciiTheme="minorEastAsia" w:hAnsiTheme="minorEastAsia" w:cs="Times New Roman" w:hint="eastAsia"/>
          <w:bCs/>
          <w:kern w:val="44"/>
          <w:sz w:val="32"/>
          <w:szCs w:val="32"/>
        </w:rPr>
        <w:lastRenderedPageBreak/>
        <w:t>5.对下级单位补助支出：指高等学校用财政补助收入之外的收入对附属单位补助发生的支出。</w:t>
      </w:r>
      <w:bookmarkStart w:id="16" w:name="_GoBack"/>
      <w:bookmarkEnd w:id="16"/>
    </w:p>
    <w:sectPr w:rsidR="00700272" w:rsidRPr="000307A3" w:rsidSect="004831D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2E" w:rsidRDefault="00C4732E" w:rsidP="00DC0A9E">
      <w:r>
        <w:separator/>
      </w:r>
    </w:p>
  </w:endnote>
  <w:endnote w:type="continuationSeparator" w:id="0">
    <w:p w:rsidR="00C4732E" w:rsidRDefault="00C4732E" w:rsidP="00DC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华文楷体">
    <w:altName w:val="微软雅黑"/>
    <w:panose1 w:val="00000000000000000000"/>
    <w:charset w:val="86"/>
    <w:family w:val="auto"/>
    <w:notTrueType/>
    <w:pitch w:val="variable"/>
    <w:sig w:usb0="00000000" w:usb1="080E0000" w:usb2="00000010" w:usb3="00000000" w:csb0="0004009F" w:csb1="00000000"/>
  </w:font>
  <w:font w:name="仿宋">
    <w:altName w:val="黑体"/>
    <w:panose1 w:val="00000000000000000000"/>
    <w:charset w:val="86"/>
    <w:family w:val="modern"/>
    <w:notTrueType/>
    <w:pitch w:val="fixed"/>
    <w:sig w:usb0="00000001"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4" w:rsidRDefault="00010434">
    <w:pPr>
      <w:pStyle w:val="a5"/>
      <w:jc w:val="center"/>
    </w:pPr>
  </w:p>
  <w:p w:rsidR="00010434" w:rsidRDefault="000104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4" w:rsidRDefault="00010434">
    <w:pPr>
      <w:pStyle w:val="a5"/>
      <w:jc w:val="center"/>
    </w:pPr>
  </w:p>
  <w:p w:rsidR="00010434" w:rsidRDefault="0001043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561"/>
      <w:docPartObj>
        <w:docPartGallery w:val="Page Numbers (Bottom of Page)"/>
        <w:docPartUnique/>
      </w:docPartObj>
    </w:sdtPr>
    <w:sdtEndPr/>
    <w:sdtContent>
      <w:p w:rsidR="00010434" w:rsidRDefault="00010434">
        <w:pPr>
          <w:pStyle w:val="a5"/>
          <w:jc w:val="center"/>
        </w:pPr>
        <w:r>
          <w:fldChar w:fldCharType="begin"/>
        </w:r>
        <w:r>
          <w:instrText>PAGE   \* MERGEFORMAT</w:instrText>
        </w:r>
        <w:r>
          <w:fldChar w:fldCharType="separate"/>
        </w:r>
        <w:r w:rsidR="00B25D29" w:rsidRPr="00B25D29">
          <w:rPr>
            <w:noProof/>
            <w:lang w:val="zh-CN"/>
          </w:rPr>
          <w:t>1</w:t>
        </w:r>
        <w:r>
          <w:fldChar w:fldCharType="end"/>
        </w:r>
      </w:p>
    </w:sdtContent>
  </w:sdt>
  <w:p w:rsidR="00010434" w:rsidRDefault="000104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2E" w:rsidRDefault="00C4732E" w:rsidP="00DC0A9E">
      <w:r>
        <w:separator/>
      </w:r>
    </w:p>
  </w:footnote>
  <w:footnote w:type="continuationSeparator" w:id="0">
    <w:p w:rsidR="00C4732E" w:rsidRDefault="00C4732E" w:rsidP="00DC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9E0"/>
    <w:multiLevelType w:val="hybridMultilevel"/>
    <w:tmpl w:val="054ECF78"/>
    <w:lvl w:ilvl="0" w:tplc="3B30F3B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59005E7"/>
    <w:multiLevelType w:val="hybridMultilevel"/>
    <w:tmpl w:val="0E08B27E"/>
    <w:lvl w:ilvl="0" w:tplc="F274E090">
      <w:start w:val="1"/>
      <w:numFmt w:val="none"/>
      <w:lvlText w:val="一、"/>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67C03F0"/>
    <w:multiLevelType w:val="hybridMultilevel"/>
    <w:tmpl w:val="9D48630C"/>
    <w:lvl w:ilvl="0" w:tplc="AAFAD6B0">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8927FC2"/>
    <w:multiLevelType w:val="hybridMultilevel"/>
    <w:tmpl w:val="A406008E"/>
    <w:lvl w:ilvl="0" w:tplc="B826302C">
      <w:start w:val="5"/>
      <w:numFmt w:val="none"/>
      <w:lvlText w:val="五、"/>
      <w:lvlJc w:val="left"/>
      <w:pPr>
        <w:ind w:left="3572" w:hanging="297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nsid w:val="101D5396"/>
    <w:multiLevelType w:val="hybridMultilevel"/>
    <w:tmpl w:val="2B7826BC"/>
    <w:lvl w:ilvl="0" w:tplc="0722E0BC">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2275183C"/>
    <w:multiLevelType w:val="hybridMultilevel"/>
    <w:tmpl w:val="7554B104"/>
    <w:lvl w:ilvl="0" w:tplc="7C12660C">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A0C5C01"/>
    <w:multiLevelType w:val="hybridMultilevel"/>
    <w:tmpl w:val="9A704AC8"/>
    <w:lvl w:ilvl="0" w:tplc="6472EA4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2C3A6C46"/>
    <w:multiLevelType w:val="hybridMultilevel"/>
    <w:tmpl w:val="3086E47A"/>
    <w:lvl w:ilvl="0" w:tplc="2144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FA2B7C"/>
    <w:multiLevelType w:val="hybridMultilevel"/>
    <w:tmpl w:val="1F44F292"/>
    <w:lvl w:ilvl="0" w:tplc="BB368B28">
      <w:start w:val="5"/>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D13510D"/>
    <w:multiLevelType w:val="hybridMultilevel"/>
    <w:tmpl w:val="1A64D236"/>
    <w:lvl w:ilvl="0" w:tplc="0908EC9E">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90A5A4C"/>
    <w:multiLevelType w:val="hybridMultilevel"/>
    <w:tmpl w:val="58925FDC"/>
    <w:lvl w:ilvl="0" w:tplc="F6D29A3C">
      <w:start w:val="2012"/>
      <w:numFmt w:val="decimal"/>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A3F16C9"/>
    <w:multiLevelType w:val="hybridMultilevel"/>
    <w:tmpl w:val="54FCBB48"/>
    <w:lvl w:ilvl="0" w:tplc="0D26C9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4F6B7532"/>
    <w:multiLevelType w:val="hybridMultilevel"/>
    <w:tmpl w:val="B75E3ABE"/>
    <w:lvl w:ilvl="0" w:tplc="6E7AD964">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4C2A56"/>
    <w:multiLevelType w:val="hybridMultilevel"/>
    <w:tmpl w:val="7B2A9F98"/>
    <w:lvl w:ilvl="0" w:tplc="C6E25B7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1A5374E"/>
    <w:multiLevelType w:val="hybridMultilevel"/>
    <w:tmpl w:val="D2CEA0A2"/>
    <w:lvl w:ilvl="0" w:tplc="4F4A279C">
      <w:start w:val="1"/>
      <w:numFmt w:val="japaneseCounting"/>
      <w:lvlText w:val="%1、"/>
      <w:lvlJc w:val="left"/>
      <w:pPr>
        <w:ind w:left="1360" w:hanging="720"/>
      </w:pPr>
      <w:rPr>
        <w:rFonts w:ascii="黑体" w:eastAsia="黑体" w:hAnsi="黑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56C349C"/>
    <w:multiLevelType w:val="hybridMultilevel"/>
    <w:tmpl w:val="4EE61FB8"/>
    <w:lvl w:ilvl="0" w:tplc="CFFA2A36">
      <w:start w:val="1"/>
      <w:numFmt w:val="none"/>
      <w:lvlText w:val="一、"/>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67835382"/>
    <w:multiLevelType w:val="hybridMultilevel"/>
    <w:tmpl w:val="875C7882"/>
    <w:lvl w:ilvl="0" w:tplc="37DECDD2">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6B30525A"/>
    <w:multiLevelType w:val="hybridMultilevel"/>
    <w:tmpl w:val="CE10C81A"/>
    <w:lvl w:ilvl="0" w:tplc="06786D0C">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F7212E"/>
    <w:multiLevelType w:val="hybridMultilevel"/>
    <w:tmpl w:val="D1C63906"/>
    <w:lvl w:ilvl="0" w:tplc="E132E9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249231B"/>
    <w:multiLevelType w:val="hybridMultilevel"/>
    <w:tmpl w:val="4B662000"/>
    <w:lvl w:ilvl="0" w:tplc="FCC6E85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BCA5A5B"/>
    <w:multiLevelType w:val="hybridMultilevel"/>
    <w:tmpl w:val="858CEF3C"/>
    <w:lvl w:ilvl="0" w:tplc="4948E234">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7"/>
  </w:num>
  <w:num w:numId="2">
    <w:abstractNumId w:val="9"/>
  </w:num>
  <w:num w:numId="3">
    <w:abstractNumId w:val="10"/>
  </w:num>
  <w:num w:numId="4">
    <w:abstractNumId w:val="1"/>
  </w:num>
  <w:num w:numId="5">
    <w:abstractNumId w:val="18"/>
  </w:num>
  <w:num w:numId="6">
    <w:abstractNumId w:val="6"/>
  </w:num>
  <w:num w:numId="7">
    <w:abstractNumId w:val="12"/>
  </w:num>
  <w:num w:numId="8">
    <w:abstractNumId w:val="3"/>
  </w:num>
  <w:num w:numId="9">
    <w:abstractNumId w:val="14"/>
  </w:num>
  <w:num w:numId="10">
    <w:abstractNumId w:val="0"/>
  </w:num>
  <w:num w:numId="11">
    <w:abstractNumId w:val="8"/>
  </w:num>
  <w:num w:numId="12">
    <w:abstractNumId w:val="5"/>
  </w:num>
  <w:num w:numId="13">
    <w:abstractNumId w:val="16"/>
  </w:num>
  <w:num w:numId="14">
    <w:abstractNumId w:val="4"/>
  </w:num>
  <w:num w:numId="15">
    <w:abstractNumId w:val="20"/>
  </w:num>
  <w:num w:numId="16">
    <w:abstractNumId w:val="2"/>
  </w:num>
  <w:num w:numId="17">
    <w:abstractNumId w:val="13"/>
  </w:num>
  <w:num w:numId="18">
    <w:abstractNumId w:val="19"/>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38"/>
    <w:rsid w:val="00001382"/>
    <w:rsid w:val="000101B1"/>
    <w:rsid w:val="00010434"/>
    <w:rsid w:val="000118C2"/>
    <w:rsid w:val="00021CF7"/>
    <w:rsid w:val="000231EC"/>
    <w:rsid w:val="0002405A"/>
    <w:rsid w:val="00026592"/>
    <w:rsid w:val="00026FBA"/>
    <w:rsid w:val="000307A3"/>
    <w:rsid w:val="0005231B"/>
    <w:rsid w:val="000540E2"/>
    <w:rsid w:val="000656AE"/>
    <w:rsid w:val="0007082B"/>
    <w:rsid w:val="000723A7"/>
    <w:rsid w:val="000764C9"/>
    <w:rsid w:val="00076715"/>
    <w:rsid w:val="00085154"/>
    <w:rsid w:val="00085A9D"/>
    <w:rsid w:val="0009032C"/>
    <w:rsid w:val="000905C7"/>
    <w:rsid w:val="00091286"/>
    <w:rsid w:val="000913C2"/>
    <w:rsid w:val="00094606"/>
    <w:rsid w:val="0009615C"/>
    <w:rsid w:val="0009750A"/>
    <w:rsid w:val="000A7509"/>
    <w:rsid w:val="000B636A"/>
    <w:rsid w:val="000B6415"/>
    <w:rsid w:val="000C016B"/>
    <w:rsid w:val="000D437E"/>
    <w:rsid w:val="000E0DB2"/>
    <w:rsid w:val="000E38EC"/>
    <w:rsid w:val="000E7B3E"/>
    <w:rsid w:val="000F4847"/>
    <w:rsid w:val="00113AB6"/>
    <w:rsid w:val="001145D0"/>
    <w:rsid w:val="00115796"/>
    <w:rsid w:val="00126894"/>
    <w:rsid w:val="00127778"/>
    <w:rsid w:val="0012785B"/>
    <w:rsid w:val="00127E62"/>
    <w:rsid w:val="00132693"/>
    <w:rsid w:val="00132A63"/>
    <w:rsid w:val="00133A76"/>
    <w:rsid w:val="0013441B"/>
    <w:rsid w:val="00134C8F"/>
    <w:rsid w:val="00136735"/>
    <w:rsid w:val="001369D6"/>
    <w:rsid w:val="00136C63"/>
    <w:rsid w:val="0014222E"/>
    <w:rsid w:val="0014593F"/>
    <w:rsid w:val="00145E40"/>
    <w:rsid w:val="00150250"/>
    <w:rsid w:val="00151F95"/>
    <w:rsid w:val="00160800"/>
    <w:rsid w:val="0016085B"/>
    <w:rsid w:val="00162221"/>
    <w:rsid w:val="00163549"/>
    <w:rsid w:val="00164735"/>
    <w:rsid w:val="001652E6"/>
    <w:rsid w:val="001665F2"/>
    <w:rsid w:val="001729BA"/>
    <w:rsid w:val="001746FE"/>
    <w:rsid w:val="00175ABF"/>
    <w:rsid w:val="0017620B"/>
    <w:rsid w:val="00181890"/>
    <w:rsid w:val="0018251E"/>
    <w:rsid w:val="00182F4C"/>
    <w:rsid w:val="0019099A"/>
    <w:rsid w:val="001919D4"/>
    <w:rsid w:val="00194CBE"/>
    <w:rsid w:val="00195FF0"/>
    <w:rsid w:val="001B0645"/>
    <w:rsid w:val="001B1F88"/>
    <w:rsid w:val="001B28ED"/>
    <w:rsid w:val="001B2DDF"/>
    <w:rsid w:val="001B614B"/>
    <w:rsid w:val="001C37DE"/>
    <w:rsid w:val="001C40D2"/>
    <w:rsid w:val="001C4701"/>
    <w:rsid w:val="001D0F32"/>
    <w:rsid w:val="001D5558"/>
    <w:rsid w:val="001E20FF"/>
    <w:rsid w:val="001E366A"/>
    <w:rsid w:val="001E4115"/>
    <w:rsid w:val="001F4304"/>
    <w:rsid w:val="002001E5"/>
    <w:rsid w:val="00200290"/>
    <w:rsid w:val="00200FB2"/>
    <w:rsid w:val="00203C33"/>
    <w:rsid w:val="00210167"/>
    <w:rsid w:val="00211C91"/>
    <w:rsid w:val="0021367E"/>
    <w:rsid w:val="0021520E"/>
    <w:rsid w:val="00215D45"/>
    <w:rsid w:val="00225517"/>
    <w:rsid w:val="00226970"/>
    <w:rsid w:val="002301BD"/>
    <w:rsid w:val="00230E00"/>
    <w:rsid w:val="0023181E"/>
    <w:rsid w:val="00236B1A"/>
    <w:rsid w:val="00240816"/>
    <w:rsid w:val="00242909"/>
    <w:rsid w:val="00243168"/>
    <w:rsid w:val="002435EB"/>
    <w:rsid w:val="00245CB3"/>
    <w:rsid w:val="00245E3C"/>
    <w:rsid w:val="0024693D"/>
    <w:rsid w:val="00251FA4"/>
    <w:rsid w:val="0025331F"/>
    <w:rsid w:val="002558A8"/>
    <w:rsid w:val="00255E44"/>
    <w:rsid w:val="00273E75"/>
    <w:rsid w:val="002743EB"/>
    <w:rsid w:val="00283CA5"/>
    <w:rsid w:val="00285577"/>
    <w:rsid w:val="002857FE"/>
    <w:rsid w:val="00287FCC"/>
    <w:rsid w:val="0029478A"/>
    <w:rsid w:val="00297461"/>
    <w:rsid w:val="002A741B"/>
    <w:rsid w:val="002B110B"/>
    <w:rsid w:val="002B1E42"/>
    <w:rsid w:val="002B2618"/>
    <w:rsid w:val="002B5042"/>
    <w:rsid w:val="002C0016"/>
    <w:rsid w:val="002D1A98"/>
    <w:rsid w:val="002D4382"/>
    <w:rsid w:val="002D4C99"/>
    <w:rsid w:val="002D51C5"/>
    <w:rsid w:val="002D6976"/>
    <w:rsid w:val="002E1EBA"/>
    <w:rsid w:val="002F5FCC"/>
    <w:rsid w:val="00303E14"/>
    <w:rsid w:val="00305CC7"/>
    <w:rsid w:val="00305F59"/>
    <w:rsid w:val="003077E1"/>
    <w:rsid w:val="00311616"/>
    <w:rsid w:val="00312055"/>
    <w:rsid w:val="0031285A"/>
    <w:rsid w:val="00316738"/>
    <w:rsid w:val="00317998"/>
    <w:rsid w:val="00321536"/>
    <w:rsid w:val="003264D1"/>
    <w:rsid w:val="00341F23"/>
    <w:rsid w:val="003421C2"/>
    <w:rsid w:val="0035115D"/>
    <w:rsid w:val="003521A5"/>
    <w:rsid w:val="00353906"/>
    <w:rsid w:val="00353AAF"/>
    <w:rsid w:val="00354AF1"/>
    <w:rsid w:val="00366C70"/>
    <w:rsid w:val="00371502"/>
    <w:rsid w:val="003742C8"/>
    <w:rsid w:val="0037593F"/>
    <w:rsid w:val="003759D0"/>
    <w:rsid w:val="00375B47"/>
    <w:rsid w:val="00380A43"/>
    <w:rsid w:val="00387CB0"/>
    <w:rsid w:val="00391851"/>
    <w:rsid w:val="00392E2E"/>
    <w:rsid w:val="003A11BB"/>
    <w:rsid w:val="003A15B9"/>
    <w:rsid w:val="003A21CF"/>
    <w:rsid w:val="003A58B8"/>
    <w:rsid w:val="003B222F"/>
    <w:rsid w:val="003B3218"/>
    <w:rsid w:val="003B539E"/>
    <w:rsid w:val="003B70D2"/>
    <w:rsid w:val="003C759D"/>
    <w:rsid w:val="003D386E"/>
    <w:rsid w:val="003D4365"/>
    <w:rsid w:val="003E0626"/>
    <w:rsid w:val="003E2CBB"/>
    <w:rsid w:val="003E7780"/>
    <w:rsid w:val="00402686"/>
    <w:rsid w:val="00402827"/>
    <w:rsid w:val="0040459E"/>
    <w:rsid w:val="00404D8A"/>
    <w:rsid w:val="004066A6"/>
    <w:rsid w:val="0040743C"/>
    <w:rsid w:val="004124A0"/>
    <w:rsid w:val="00413ED6"/>
    <w:rsid w:val="004144E4"/>
    <w:rsid w:val="004173E5"/>
    <w:rsid w:val="00421D9D"/>
    <w:rsid w:val="004235F7"/>
    <w:rsid w:val="004338C4"/>
    <w:rsid w:val="00433ABF"/>
    <w:rsid w:val="0043430F"/>
    <w:rsid w:val="00437879"/>
    <w:rsid w:val="0044549C"/>
    <w:rsid w:val="00453548"/>
    <w:rsid w:val="00463A36"/>
    <w:rsid w:val="004729BF"/>
    <w:rsid w:val="00476962"/>
    <w:rsid w:val="00477635"/>
    <w:rsid w:val="00481150"/>
    <w:rsid w:val="00481F28"/>
    <w:rsid w:val="0048267F"/>
    <w:rsid w:val="004831DA"/>
    <w:rsid w:val="004A1158"/>
    <w:rsid w:val="004A1204"/>
    <w:rsid w:val="004A1D33"/>
    <w:rsid w:val="004A3C54"/>
    <w:rsid w:val="004B2ED6"/>
    <w:rsid w:val="004B36D6"/>
    <w:rsid w:val="004B3E93"/>
    <w:rsid w:val="004B73C8"/>
    <w:rsid w:val="004C1C29"/>
    <w:rsid w:val="004C43D3"/>
    <w:rsid w:val="004C49DF"/>
    <w:rsid w:val="004D0E0D"/>
    <w:rsid w:val="004D4497"/>
    <w:rsid w:val="004D5DED"/>
    <w:rsid w:val="004E0536"/>
    <w:rsid w:val="004E4F5E"/>
    <w:rsid w:val="004F07D1"/>
    <w:rsid w:val="004F65AC"/>
    <w:rsid w:val="004F7D60"/>
    <w:rsid w:val="0050435B"/>
    <w:rsid w:val="00505C64"/>
    <w:rsid w:val="005166B1"/>
    <w:rsid w:val="00516C66"/>
    <w:rsid w:val="0051708F"/>
    <w:rsid w:val="00523BF8"/>
    <w:rsid w:val="00525E7B"/>
    <w:rsid w:val="00531055"/>
    <w:rsid w:val="00542ACB"/>
    <w:rsid w:val="0055111B"/>
    <w:rsid w:val="005536A3"/>
    <w:rsid w:val="005570A7"/>
    <w:rsid w:val="00562A88"/>
    <w:rsid w:val="005631F1"/>
    <w:rsid w:val="00563895"/>
    <w:rsid w:val="00575F05"/>
    <w:rsid w:val="0058052E"/>
    <w:rsid w:val="00581D44"/>
    <w:rsid w:val="00593F16"/>
    <w:rsid w:val="00595833"/>
    <w:rsid w:val="00596916"/>
    <w:rsid w:val="005A230B"/>
    <w:rsid w:val="005A2661"/>
    <w:rsid w:val="005B574C"/>
    <w:rsid w:val="005C0527"/>
    <w:rsid w:val="005C2378"/>
    <w:rsid w:val="005C2FBB"/>
    <w:rsid w:val="005C5836"/>
    <w:rsid w:val="005D5F3A"/>
    <w:rsid w:val="005D74B1"/>
    <w:rsid w:val="005E2D88"/>
    <w:rsid w:val="005E5E25"/>
    <w:rsid w:val="005F4022"/>
    <w:rsid w:val="006007D4"/>
    <w:rsid w:val="006029E4"/>
    <w:rsid w:val="0061407F"/>
    <w:rsid w:val="00617DCC"/>
    <w:rsid w:val="00630DDC"/>
    <w:rsid w:val="00633BAC"/>
    <w:rsid w:val="00637AA8"/>
    <w:rsid w:val="00643199"/>
    <w:rsid w:val="006443DF"/>
    <w:rsid w:val="00644E07"/>
    <w:rsid w:val="00653C4C"/>
    <w:rsid w:val="00655F36"/>
    <w:rsid w:val="00662BCD"/>
    <w:rsid w:val="00662D1C"/>
    <w:rsid w:val="00670BA2"/>
    <w:rsid w:val="00680F83"/>
    <w:rsid w:val="00691C0D"/>
    <w:rsid w:val="0069331C"/>
    <w:rsid w:val="00694CEB"/>
    <w:rsid w:val="00697D37"/>
    <w:rsid w:val="006A027D"/>
    <w:rsid w:val="006A112F"/>
    <w:rsid w:val="006A35DC"/>
    <w:rsid w:val="006A7CB0"/>
    <w:rsid w:val="006B4494"/>
    <w:rsid w:val="006C55EF"/>
    <w:rsid w:val="006C7C70"/>
    <w:rsid w:val="006C7DB1"/>
    <w:rsid w:val="006D1DBF"/>
    <w:rsid w:val="006D6D07"/>
    <w:rsid w:val="006E03F6"/>
    <w:rsid w:val="006E6A18"/>
    <w:rsid w:val="006E6BC3"/>
    <w:rsid w:val="006F1381"/>
    <w:rsid w:val="00700272"/>
    <w:rsid w:val="00701A1E"/>
    <w:rsid w:val="00702B81"/>
    <w:rsid w:val="00707E9B"/>
    <w:rsid w:val="00713BE4"/>
    <w:rsid w:val="007206F2"/>
    <w:rsid w:val="00725628"/>
    <w:rsid w:val="007347A4"/>
    <w:rsid w:val="007351F7"/>
    <w:rsid w:val="00737D8E"/>
    <w:rsid w:val="00743DFE"/>
    <w:rsid w:val="00744F90"/>
    <w:rsid w:val="00745624"/>
    <w:rsid w:val="00745999"/>
    <w:rsid w:val="00746311"/>
    <w:rsid w:val="00746D63"/>
    <w:rsid w:val="00746E9A"/>
    <w:rsid w:val="00747C3F"/>
    <w:rsid w:val="00751AE0"/>
    <w:rsid w:val="00755A06"/>
    <w:rsid w:val="00755C30"/>
    <w:rsid w:val="0075672C"/>
    <w:rsid w:val="00767BBA"/>
    <w:rsid w:val="00767DE1"/>
    <w:rsid w:val="00771E1D"/>
    <w:rsid w:val="00771E38"/>
    <w:rsid w:val="007735CC"/>
    <w:rsid w:val="00775674"/>
    <w:rsid w:val="00776D78"/>
    <w:rsid w:val="007920A2"/>
    <w:rsid w:val="00793A24"/>
    <w:rsid w:val="007B00B1"/>
    <w:rsid w:val="007B0B7A"/>
    <w:rsid w:val="007B2C19"/>
    <w:rsid w:val="007B41CF"/>
    <w:rsid w:val="007B64BB"/>
    <w:rsid w:val="007C0D9E"/>
    <w:rsid w:val="007C541F"/>
    <w:rsid w:val="007D1630"/>
    <w:rsid w:val="007D34C5"/>
    <w:rsid w:val="007E0275"/>
    <w:rsid w:val="007E06FD"/>
    <w:rsid w:val="007E1BCF"/>
    <w:rsid w:val="007E36E5"/>
    <w:rsid w:val="007E5324"/>
    <w:rsid w:val="007F70E9"/>
    <w:rsid w:val="00806606"/>
    <w:rsid w:val="008137F4"/>
    <w:rsid w:val="00813875"/>
    <w:rsid w:val="00813D84"/>
    <w:rsid w:val="0082269B"/>
    <w:rsid w:val="008249C1"/>
    <w:rsid w:val="00826FAB"/>
    <w:rsid w:val="00833D9A"/>
    <w:rsid w:val="00834DB2"/>
    <w:rsid w:val="008356D9"/>
    <w:rsid w:val="0084099B"/>
    <w:rsid w:val="008413A7"/>
    <w:rsid w:val="00841FB0"/>
    <w:rsid w:val="0084247F"/>
    <w:rsid w:val="00843788"/>
    <w:rsid w:val="00844DAB"/>
    <w:rsid w:val="00847C78"/>
    <w:rsid w:val="0085181F"/>
    <w:rsid w:val="008547EE"/>
    <w:rsid w:val="0086624F"/>
    <w:rsid w:val="00866908"/>
    <w:rsid w:val="00866AB6"/>
    <w:rsid w:val="0087011D"/>
    <w:rsid w:val="00870F93"/>
    <w:rsid w:val="008735D7"/>
    <w:rsid w:val="0087446F"/>
    <w:rsid w:val="00876DEE"/>
    <w:rsid w:val="008A1FEF"/>
    <w:rsid w:val="008A34CA"/>
    <w:rsid w:val="008B794B"/>
    <w:rsid w:val="008D1438"/>
    <w:rsid w:val="008D1505"/>
    <w:rsid w:val="008D7DFA"/>
    <w:rsid w:val="008E3F6C"/>
    <w:rsid w:val="008F0493"/>
    <w:rsid w:val="008F21F9"/>
    <w:rsid w:val="008F4322"/>
    <w:rsid w:val="008F669F"/>
    <w:rsid w:val="0090078E"/>
    <w:rsid w:val="00901095"/>
    <w:rsid w:val="00905D9E"/>
    <w:rsid w:val="0090720C"/>
    <w:rsid w:val="009076BE"/>
    <w:rsid w:val="0091346D"/>
    <w:rsid w:val="00913C68"/>
    <w:rsid w:val="009230FD"/>
    <w:rsid w:val="00927F20"/>
    <w:rsid w:val="00943596"/>
    <w:rsid w:val="00944329"/>
    <w:rsid w:val="00944AC5"/>
    <w:rsid w:val="00945674"/>
    <w:rsid w:val="00945689"/>
    <w:rsid w:val="00952379"/>
    <w:rsid w:val="009537EE"/>
    <w:rsid w:val="009553FF"/>
    <w:rsid w:val="00956972"/>
    <w:rsid w:val="00964AF3"/>
    <w:rsid w:val="00970429"/>
    <w:rsid w:val="00976775"/>
    <w:rsid w:val="00977F3F"/>
    <w:rsid w:val="00982E1E"/>
    <w:rsid w:val="00983F7A"/>
    <w:rsid w:val="009915A5"/>
    <w:rsid w:val="009A2E79"/>
    <w:rsid w:val="009A5687"/>
    <w:rsid w:val="009A6210"/>
    <w:rsid w:val="009A684E"/>
    <w:rsid w:val="009A7DE7"/>
    <w:rsid w:val="009B0247"/>
    <w:rsid w:val="009B1AC5"/>
    <w:rsid w:val="009B3D43"/>
    <w:rsid w:val="009C0738"/>
    <w:rsid w:val="009C378F"/>
    <w:rsid w:val="009C56C7"/>
    <w:rsid w:val="009C7DF8"/>
    <w:rsid w:val="009D77AD"/>
    <w:rsid w:val="009E3352"/>
    <w:rsid w:val="009E5564"/>
    <w:rsid w:val="009F2092"/>
    <w:rsid w:val="009F2571"/>
    <w:rsid w:val="009F7C64"/>
    <w:rsid w:val="00A036CA"/>
    <w:rsid w:val="00A050E1"/>
    <w:rsid w:val="00A07318"/>
    <w:rsid w:val="00A07BA0"/>
    <w:rsid w:val="00A103EE"/>
    <w:rsid w:val="00A15E65"/>
    <w:rsid w:val="00A21073"/>
    <w:rsid w:val="00A21598"/>
    <w:rsid w:val="00A2266F"/>
    <w:rsid w:val="00A259CB"/>
    <w:rsid w:val="00A278B3"/>
    <w:rsid w:val="00A33A73"/>
    <w:rsid w:val="00A341BC"/>
    <w:rsid w:val="00A44467"/>
    <w:rsid w:val="00A445C3"/>
    <w:rsid w:val="00A4588D"/>
    <w:rsid w:val="00A45EA7"/>
    <w:rsid w:val="00A52F4A"/>
    <w:rsid w:val="00A56038"/>
    <w:rsid w:val="00A61438"/>
    <w:rsid w:val="00A644C7"/>
    <w:rsid w:val="00A66760"/>
    <w:rsid w:val="00A67259"/>
    <w:rsid w:val="00A70B77"/>
    <w:rsid w:val="00A7676A"/>
    <w:rsid w:val="00A77027"/>
    <w:rsid w:val="00A77344"/>
    <w:rsid w:val="00A77E3B"/>
    <w:rsid w:val="00A81832"/>
    <w:rsid w:val="00A8440C"/>
    <w:rsid w:val="00A87C0F"/>
    <w:rsid w:val="00A901FC"/>
    <w:rsid w:val="00A90435"/>
    <w:rsid w:val="00A905BF"/>
    <w:rsid w:val="00A93129"/>
    <w:rsid w:val="00A93478"/>
    <w:rsid w:val="00A97DDC"/>
    <w:rsid w:val="00AA2F36"/>
    <w:rsid w:val="00AA4A46"/>
    <w:rsid w:val="00AA50E7"/>
    <w:rsid w:val="00AB0887"/>
    <w:rsid w:val="00AB0AC3"/>
    <w:rsid w:val="00AB7E69"/>
    <w:rsid w:val="00AC22BE"/>
    <w:rsid w:val="00AC7937"/>
    <w:rsid w:val="00AD0BB8"/>
    <w:rsid w:val="00AD3BCA"/>
    <w:rsid w:val="00AE2A14"/>
    <w:rsid w:val="00AE72C7"/>
    <w:rsid w:val="00AE7BD1"/>
    <w:rsid w:val="00AF1A4A"/>
    <w:rsid w:val="00AF2EA0"/>
    <w:rsid w:val="00AF58E1"/>
    <w:rsid w:val="00B00F25"/>
    <w:rsid w:val="00B01747"/>
    <w:rsid w:val="00B03C2D"/>
    <w:rsid w:val="00B0693F"/>
    <w:rsid w:val="00B06D25"/>
    <w:rsid w:val="00B07700"/>
    <w:rsid w:val="00B107FB"/>
    <w:rsid w:val="00B15111"/>
    <w:rsid w:val="00B219F5"/>
    <w:rsid w:val="00B21DDD"/>
    <w:rsid w:val="00B25D29"/>
    <w:rsid w:val="00B2623F"/>
    <w:rsid w:val="00B33351"/>
    <w:rsid w:val="00B400A9"/>
    <w:rsid w:val="00B43643"/>
    <w:rsid w:val="00B44A60"/>
    <w:rsid w:val="00B46A53"/>
    <w:rsid w:val="00B50CEE"/>
    <w:rsid w:val="00B534AD"/>
    <w:rsid w:val="00B5513C"/>
    <w:rsid w:val="00B56481"/>
    <w:rsid w:val="00B61431"/>
    <w:rsid w:val="00B61749"/>
    <w:rsid w:val="00B6684A"/>
    <w:rsid w:val="00B66DB7"/>
    <w:rsid w:val="00B735B7"/>
    <w:rsid w:val="00B75940"/>
    <w:rsid w:val="00B77CE8"/>
    <w:rsid w:val="00B805F5"/>
    <w:rsid w:val="00B8740E"/>
    <w:rsid w:val="00B926F2"/>
    <w:rsid w:val="00B93114"/>
    <w:rsid w:val="00BA0A18"/>
    <w:rsid w:val="00BA0A54"/>
    <w:rsid w:val="00BA4558"/>
    <w:rsid w:val="00BC6FF1"/>
    <w:rsid w:val="00BD1224"/>
    <w:rsid w:val="00BD1369"/>
    <w:rsid w:val="00BD2F7E"/>
    <w:rsid w:val="00BD6F95"/>
    <w:rsid w:val="00BD7B03"/>
    <w:rsid w:val="00BD7BFA"/>
    <w:rsid w:val="00BF5B5D"/>
    <w:rsid w:val="00C066D5"/>
    <w:rsid w:val="00C14F75"/>
    <w:rsid w:val="00C173D5"/>
    <w:rsid w:val="00C2250E"/>
    <w:rsid w:val="00C362F5"/>
    <w:rsid w:val="00C36D0B"/>
    <w:rsid w:val="00C373B7"/>
    <w:rsid w:val="00C378A1"/>
    <w:rsid w:val="00C4211D"/>
    <w:rsid w:val="00C434BF"/>
    <w:rsid w:val="00C45F9B"/>
    <w:rsid w:val="00C4732E"/>
    <w:rsid w:val="00C507E9"/>
    <w:rsid w:val="00C52FB1"/>
    <w:rsid w:val="00C54086"/>
    <w:rsid w:val="00C54888"/>
    <w:rsid w:val="00C559DA"/>
    <w:rsid w:val="00C561FB"/>
    <w:rsid w:val="00C61169"/>
    <w:rsid w:val="00C6698B"/>
    <w:rsid w:val="00C66F4D"/>
    <w:rsid w:val="00C74DE8"/>
    <w:rsid w:val="00C80A26"/>
    <w:rsid w:val="00C8266B"/>
    <w:rsid w:val="00C83BBE"/>
    <w:rsid w:val="00C86CEC"/>
    <w:rsid w:val="00C871FB"/>
    <w:rsid w:val="00C95244"/>
    <w:rsid w:val="00C97EC2"/>
    <w:rsid w:val="00CA4F56"/>
    <w:rsid w:val="00CA60C0"/>
    <w:rsid w:val="00CA63BB"/>
    <w:rsid w:val="00CA7AD6"/>
    <w:rsid w:val="00CB03A0"/>
    <w:rsid w:val="00CB0D0D"/>
    <w:rsid w:val="00CB5600"/>
    <w:rsid w:val="00CB5C3B"/>
    <w:rsid w:val="00CB5DB5"/>
    <w:rsid w:val="00CB641F"/>
    <w:rsid w:val="00CB7819"/>
    <w:rsid w:val="00CC53A9"/>
    <w:rsid w:val="00CD1BDC"/>
    <w:rsid w:val="00CD3171"/>
    <w:rsid w:val="00CD5DCB"/>
    <w:rsid w:val="00CD7D24"/>
    <w:rsid w:val="00CE1F9D"/>
    <w:rsid w:val="00CE24E4"/>
    <w:rsid w:val="00CE34C8"/>
    <w:rsid w:val="00CF25BA"/>
    <w:rsid w:val="00CF28D9"/>
    <w:rsid w:val="00CF40EF"/>
    <w:rsid w:val="00D00C30"/>
    <w:rsid w:val="00D017F1"/>
    <w:rsid w:val="00D04347"/>
    <w:rsid w:val="00D06F85"/>
    <w:rsid w:val="00D071F3"/>
    <w:rsid w:val="00D07C1A"/>
    <w:rsid w:val="00D10EA2"/>
    <w:rsid w:val="00D26051"/>
    <w:rsid w:val="00D2616E"/>
    <w:rsid w:val="00D26722"/>
    <w:rsid w:val="00D30049"/>
    <w:rsid w:val="00D324B1"/>
    <w:rsid w:val="00D33BBE"/>
    <w:rsid w:val="00D4455A"/>
    <w:rsid w:val="00D445B5"/>
    <w:rsid w:val="00D47412"/>
    <w:rsid w:val="00D5441B"/>
    <w:rsid w:val="00D54995"/>
    <w:rsid w:val="00D624D3"/>
    <w:rsid w:val="00D64D91"/>
    <w:rsid w:val="00D65DB1"/>
    <w:rsid w:val="00D73FDF"/>
    <w:rsid w:val="00D83976"/>
    <w:rsid w:val="00D851AF"/>
    <w:rsid w:val="00D87EA9"/>
    <w:rsid w:val="00D948FF"/>
    <w:rsid w:val="00D979DB"/>
    <w:rsid w:val="00DA0E8A"/>
    <w:rsid w:val="00DA2158"/>
    <w:rsid w:val="00DB00EB"/>
    <w:rsid w:val="00DB272E"/>
    <w:rsid w:val="00DB40CC"/>
    <w:rsid w:val="00DB59C7"/>
    <w:rsid w:val="00DC057A"/>
    <w:rsid w:val="00DC0998"/>
    <w:rsid w:val="00DC0A9E"/>
    <w:rsid w:val="00DC6C3E"/>
    <w:rsid w:val="00DC7A13"/>
    <w:rsid w:val="00DC7E1E"/>
    <w:rsid w:val="00DD1350"/>
    <w:rsid w:val="00DD494D"/>
    <w:rsid w:val="00DD5F13"/>
    <w:rsid w:val="00DD68FC"/>
    <w:rsid w:val="00DD692C"/>
    <w:rsid w:val="00DD7DAC"/>
    <w:rsid w:val="00DE76C4"/>
    <w:rsid w:val="00DF3296"/>
    <w:rsid w:val="00E12822"/>
    <w:rsid w:val="00E1469E"/>
    <w:rsid w:val="00E21036"/>
    <w:rsid w:val="00E212F6"/>
    <w:rsid w:val="00E21BA9"/>
    <w:rsid w:val="00E22549"/>
    <w:rsid w:val="00E22B16"/>
    <w:rsid w:val="00E22D00"/>
    <w:rsid w:val="00E24E99"/>
    <w:rsid w:val="00E25114"/>
    <w:rsid w:val="00E26355"/>
    <w:rsid w:val="00E269FE"/>
    <w:rsid w:val="00E2738A"/>
    <w:rsid w:val="00E274AE"/>
    <w:rsid w:val="00E329F9"/>
    <w:rsid w:val="00E3632F"/>
    <w:rsid w:val="00E37F89"/>
    <w:rsid w:val="00E43398"/>
    <w:rsid w:val="00E4413D"/>
    <w:rsid w:val="00E52324"/>
    <w:rsid w:val="00E52D8C"/>
    <w:rsid w:val="00E5708B"/>
    <w:rsid w:val="00E60738"/>
    <w:rsid w:val="00E7075C"/>
    <w:rsid w:val="00E710B4"/>
    <w:rsid w:val="00E72CAD"/>
    <w:rsid w:val="00E75141"/>
    <w:rsid w:val="00E76BA0"/>
    <w:rsid w:val="00E772D5"/>
    <w:rsid w:val="00E8021E"/>
    <w:rsid w:val="00E81E62"/>
    <w:rsid w:val="00E830CE"/>
    <w:rsid w:val="00E92DF7"/>
    <w:rsid w:val="00E95FB7"/>
    <w:rsid w:val="00E96D04"/>
    <w:rsid w:val="00EA0BBD"/>
    <w:rsid w:val="00EA1A9E"/>
    <w:rsid w:val="00EA360E"/>
    <w:rsid w:val="00EA3C3D"/>
    <w:rsid w:val="00EA4FDD"/>
    <w:rsid w:val="00EA524B"/>
    <w:rsid w:val="00EB25B2"/>
    <w:rsid w:val="00EB3676"/>
    <w:rsid w:val="00EB5327"/>
    <w:rsid w:val="00EC105F"/>
    <w:rsid w:val="00EC1597"/>
    <w:rsid w:val="00EC7E73"/>
    <w:rsid w:val="00ED04A0"/>
    <w:rsid w:val="00ED0B12"/>
    <w:rsid w:val="00ED2C7A"/>
    <w:rsid w:val="00ED7D94"/>
    <w:rsid w:val="00EE1078"/>
    <w:rsid w:val="00EE635D"/>
    <w:rsid w:val="00EE7186"/>
    <w:rsid w:val="00EF0AFD"/>
    <w:rsid w:val="00EF4A05"/>
    <w:rsid w:val="00EF5926"/>
    <w:rsid w:val="00EF702C"/>
    <w:rsid w:val="00F006E5"/>
    <w:rsid w:val="00F04C02"/>
    <w:rsid w:val="00F05316"/>
    <w:rsid w:val="00F06C8E"/>
    <w:rsid w:val="00F15DF2"/>
    <w:rsid w:val="00F24F61"/>
    <w:rsid w:val="00F25AC5"/>
    <w:rsid w:val="00F40F6E"/>
    <w:rsid w:val="00F418F0"/>
    <w:rsid w:val="00F430E0"/>
    <w:rsid w:val="00F45923"/>
    <w:rsid w:val="00F56F0F"/>
    <w:rsid w:val="00F574B2"/>
    <w:rsid w:val="00F57BAF"/>
    <w:rsid w:val="00F66075"/>
    <w:rsid w:val="00F74026"/>
    <w:rsid w:val="00F75F1F"/>
    <w:rsid w:val="00F7704E"/>
    <w:rsid w:val="00F83E7D"/>
    <w:rsid w:val="00F83FA8"/>
    <w:rsid w:val="00F85862"/>
    <w:rsid w:val="00F9442F"/>
    <w:rsid w:val="00F955D6"/>
    <w:rsid w:val="00F97FEA"/>
    <w:rsid w:val="00FA0A87"/>
    <w:rsid w:val="00FA3815"/>
    <w:rsid w:val="00FA3A6A"/>
    <w:rsid w:val="00FB48B0"/>
    <w:rsid w:val="00FB5F87"/>
    <w:rsid w:val="00FC3C86"/>
    <w:rsid w:val="00FC7013"/>
    <w:rsid w:val="00FD3FE0"/>
    <w:rsid w:val="00FD4B8B"/>
    <w:rsid w:val="00FD57E5"/>
    <w:rsid w:val="00FE332D"/>
    <w:rsid w:val="00FE6471"/>
    <w:rsid w:val="00FF0DEA"/>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 w:type="character" w:styleId="a8">
    <w:name w:val="annotation reference"/>
    <w:basedOn w:val="a0"/>
    <w:uiPriority w:val="99"/>
    <w:semiHidden/>
    <w:unhideWhenUsed/>
    <w:rsid w:val="00A07318"/>
    <w:rPr>
      <w:sz w:val="21"/>
      <w:szCs w:val="21"/>
    </w:rPr>
  </w:style>
  <w:style w:type="paragraph" w:styleId="a9">
    <w:name w:val="annotation text"/>
    <w:basedOn w:val="a"/>
    <w:link w:val="Char2"/>
    <w:uiPriority w:val="99"/>
    <w:semiHidden/>
    <w:unhideWhenUsed/>
    <w:rsid w:val="00A07318"/>
    <w:pPr>
      <w:jc w:val="left"/>
    </w:pPr>
  </w:style>
  <w:style w:type="character" w:customStyle="1" w:styleId="Char2">
    <w:name w:val="批注文字 Char"/>
    <w:basedOn w:val="a0"/>
    <w:link w:val="a9"/>
    <w:uiPriority w:val="99"/>
    <w:semiHidden/>
    <w:rsid w:val="00A07318"/>
  </w:style>
  <w:style w:type="paragraph" w:styleId="aa">
    <w:name w:val="annotation subject"/>
    <w:basedOn w:val="a9"/>
    <w:next w:val="a9"/>
    <w:link w:val="Char3"/>
    <w:uiPriority w:val="99"/>
    <w:semiHidden/>
    <w:unhideWhenUsed/>
    <w:rsid w:val="00A07318"/>
    <w:rPr>
      <w:b/>
      <w:bCs/>
    </w:rPr>
  </w:style>
  <w:style w:type="character" w:customStyle="1" w:styleId="Char3">
    <w:name w:val="批注主题 Char"/>
    <w:basedOn w:val="Char2"/>
    <w:link w:val="aa"/>
    <w:uiPriority w:val="99"/>
    <w:semiHidden/>
    <w:rsid w:val="00A073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12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E9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6038"/>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CE34C8"/>
    <w:pPr>
      <w:ind w:firstLineChars="200" w:firstLine="420"/>
    </w:pPr>
  </w:style>
  <w:style w:type="paragraph" w:styleId="a4">
    <w:name w:val="header"/>
    <w:basedOn w:val="a"/>
    <w:link w:val="Char"/>
    <w:uiPriority w:val="99"/>
    <w:unhideWhenUsed/>
    <w:rsid w:val="00DC0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C0A9E"/>
    <w:rPr>
      <w:sz w:val="18"/>
      <w:szCs w:val="18"/>
    </w:rPr>
  </w:style>
  <w:style w:type="paragraph" w:styleId="a5">
    <w:name w:val="footer"/>
    <w:basedOn w:val="a"/>
    <w:link w:val="Char0"/>
    <w:uiPriority w:val="99"/>
    <w:unhideWhenUsed/>
    <w:rsid w:val="00DC0A9E"/>
    <w:pPr>
      <w:tabs>
        <w:tab w:val="center" w:pos="4153"/>
        <w:tab w:val="right" w:pos="8306"/>
      </w:tabs>
      <w:snapToGrid w:val="0"/>
      <w:jc w:val="left"/>
    </w:pPr>
    <w:rPr>
      <w:sz w:val="18"/>
      <w:szCs w:val="18"/>
    </w:rPr>
  </w:style>
  <w:style w:type="character" w:customStyle="1" w:styleId="Char0">
    <w:name w:val="页脚 Char"/>
    <w:basedOn w:val="a0"/>
    <w:link w:val="a5"/>
    <w:uiPriority w:val="99"/>
    <w:rsid w:val="00DC0A9E"/>
    <w:rPr>
      <w:sz w:val="18"/>
      <w:szCs w:val="18"/>
    </w:rPr>
  </w:style>
  <w:style w:type="paragraph" w:styleId="a6">
    <w:name w:val="Balloon Text"/>
    <w:basedOn w:val="a"/>
    <w:link w:val="Char1"/>
    <w:uiPriority w:val="99"/>
    <w:semiHidden/>
    <w:unhideWhenUsed/>
    <w:rsid w:val="00076715"/>
    <w:rPr>
      <w:sz w:val="18"/>
      <w:szCs w:val="18"/>
    </w:rPr>
  </w:style>
  <w:style w:type="character" w:customStyle="1" w:styleId="Char1">
    <w:name w:val="批注框文本 Char"/>
    <w:basedOn w:val="a0"/>
    <w:link w:val="a6"/>
    <w:uiPriority w:val="99"/>
    <w:semiHidden/>
    <w:rsid w:val="00076715"/>
    <w:rPr>
      <w:sz w:val="18"/>
      <w:szCs w:val="18"/>
    </w:rPr>
  </w:style>
  <w:style w:type="character" w:customStyle="1" w:styleId="1Char">
    <w:name w:val="标题 1 Char"/>
    <w:basedOn w:val="a0"/>
    <w:link w:val="1"/>
    <w:uiPriority w:val="9"/>
    <w:rsid w:val="00091286"/>
    <w:rPr>
      <w:b/>
      <w:bCs/>
      <w:kern w:val="44"/>
      <w:sz w:val="44"/>
      <w:szCs w:val="44"/>
    </w:rPr>
  </w:style>
  <w:style w:type="character" w:customStyle="1" w:styleId="2Char">
    <w:name w:val="标题 2 Char"/>
    <w:basedOn w:val="a0"/>
    <w:link w:val="2"/>
    <w:uiPriority w:val="9"/>
    <w:rsid w:val="00746E9A"/>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743E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203C33"/>
    <w:pPr>
      <w:tabs>
        <w:tab w:val="right" w:leader="dot" w:pos="8296"/>
      </w:tabs>
    </w:pPr>
    <w:rPr>
      <w:rFonts w:ascii="黑体" w:eastAsia="黑体" w:hAnsi="黑体"/>
      <w:noProof/>
      <w:sz w:val="32"/>
      <w:szCs w:val="32"/>
    </w:rPr>
  </w:style>
  <w:style w:type="paragraph" w:styleId="20">
    <w:name w:val="toc 2"/>
    <w:basedOn w:val="a"/>
    <w:next w:val="a"/>
    <w:autoRedefine/>
    <w:uiPriority w:val="39"/>
    <w:unhideWhenUsed/>
    <w:qFormat/>
    <w:rsid w:val="00203C33"/>
    <w:pPr>
      <w:tabs>
        <w:tab w:val="right" w:leader="dot" w:pos="8296"/>
      </w:tabs>
      <w:ind w:leftChars="200" w:left="420"/>
    </w:pPr>
    <w:rPr>
      <w:rFonts w:ascii="华文楷体" w:eastAsia="华文楷体" w:hAnsi="华文楷体"/>
      <w:noProof/>
      <w:sz w:val="32"/>
      <w:szCs w:val="32"/>
    </w:rPr>
  </w:style>
  <w:style w:type="character" w:styleId="a7">
    <w:name w:val="Hyperlink"/>
    <w:basedOn w:val="a0"/>
    <w:uiPriority w:val="99"/>
    <w:unhideWhenUsed/>
    <w:rsid w:val="002743EB"/>
    <w:rPr>
      <w:color w:val="0000FF" w:themeColor="hyperlink"/>
      <w:u w:val="single"/>
    </w:rPr>
  </w:style>
  <w:style w:type="paragraph" w:styleId="3">
    <w:name w:val="toc 3"/>
    <w:basedOn w:val="a"/>
    <w:next w:val="a"/>
    <w:autoRedefine/>
    <w:uiPriority w:val="39"/>
    <w:semiHidden/>
    <w:unhideWhenUsed/>
    <w:qFormat/>
    <w:rsid w:val="00B5513C"/>
    <w:pPr>
      <w:widowControl/>
      <w:spacing w:after="100" w:line="276" w:lineRule="auto"/>
      <w:ind w:left="440"/>
      <w:jc w:val="left"/>
    </w:pPr>
    <w:rPr>
      <w:kern w:val="0"/>
      <w:sz w:val="22"/>
    </w:rPr>
  </w:style>
  <w:style w:type="character" w:styleId="a8">
    <w:name w:val="annotation reference"/>
    <w:basedOn w:val="a0"/>
    <w:uiPriority w:val="99"/>
    <w:semiHidden/>
    <w:unhideWhenUsed/>
    <w:rsid w:val="00A07318"/>
    <w:rPr>
      <w:sz w:val="21"/>
      <w:szCs w:val="21"/>
    </w:rPr>
  </w:style>
  <w:style w:type="paragraph" w:styleId="a9">
    <w:name w:val="annotation text"/>
    <w:basedOn w:val="a"/>
    <w:link w:val="Char2"/>
    <w:uiPriority w:val="99"/>
    <w:semiHidden/>
    <w:unhideWhenUsed/>
    <w:rsid w:val="00A07318"/>
    <w:pPr>
      <w:jc w:val="left"/>
    </w:pPr>
  </w:style>
  <w:style w:type="character" w:customStyle="1" w:styleId="Char2">
    <w:name w:val="批注文字 Char"/>
    <w:basedOn w:val="a0"/>
    <w:link w:val="a9"/>
    <w:uiPriority w:val="99"/>
    <w:semiHidden/>
    <w:rsid w:val="00A07318"/>
  </w:style>
  <w:style w:type="paragraph" w:styleId="aa">
    <w:name w:val="annotation subject"/>
    <w:basedOn w:val="a9"/>
    <w:next w:val="a9"/>
    <w:link w:val="Char3"/>
    <w:uiPriority w:val="99"/>
    <w:semiHidden/>
    <w:unhideWhenUsed/>
    <w:rsid w:val="00A07318"/>
    <w:rPr>
      <w:b/>
      <w:bCs/>
    </w:rPr>
  </w:style>
  <w:style w:type="character" w:customStyle="1" w:styleId="Char3">
    <w:name w:val="批注主题 Char"/>
    <w:basedOn w:val="Char2"/>
    <w:link w:val="aa"/>
    <w:uiPriority w:val="99"/>
    <w:semiHidden/>
    <w:rsid w:val="00A07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34">
      <w:bodyDiv w:val="1"/>
      <w:marLeft w:val="0"/>
      <w:marRight w:val="0"/>
      <w:marTop w:val="0"/>
      <w:marBottom w:val="0"/>
      <w:divBdr>
        <w:top w:val="none" w:sz="0" w:space="0" w:color="auto"/>
        <w:left w:val="none" w:sz="0" w:space="0" w:color="auto"/>
        <w:bottom w:val="none" w:sz="0" w:space="0" w:color="auto"/>
        <w:right w:val="none" w:sz="0" w:space="0" w:color="auto"/>
      </w:divBdr>
    </w:div>
    <w:div w:id="16739604">
      <w:bodyDiv w:val="1"/>
      <w:marLeft w:val="0"/>
      <w:marRight w:val="0"/>
      <w:marTop w:val="0"/>
      <w:marBottom w:val="0"/>
      <w:divBdr>
        <w:top w:val="none" w:sz="0" w:space="0" w:color="auto"/>
        <w:left w:val="none" w:sz="0" w:space="0" w:color="auto"/>
        <w:bottom w:val="none" w:sz="0" w:space="0" w:color="auto"/>
        <w:right w:val="none" w:sz="0" w:space="0" w:color="auto"/>
      </w:divBdr>
    </w:div>
    <w:div w:id="56712840">
      <w:bodyDiv w:val="1"/>
      <w:marLeft w:val="0"/>
      <w:marRight w:val="0"/>
      <w:marTop w:val="0"/>
      <w:marBottom w:val="0"/>
      <w:divBdr>
        <w:top w:val="none" w:sz="0" w:space="0" w:color="auto"/>
        <w:left w:val="none" w:sz="0" w:space="0" w:color="auto"/>
        <w:bottom w:val="none" w:sz="0" w:space="0" w:color="auto"/>
        <w:right w:val="none" w:sz="0" w:space="0" w:color="auto"/>
      </w:divBdr>
    </w:div>
    <w:div w:id="126048875">
      <w:bodyDiv w:val="1"/>
      <w:marLeft w:val="0"/>
      <w:marRight w:val="0"/>
      <w:marTop w:val="0"/>
      <w:marBottom w:val="0"/>
      <w:divBdr>
        <w:top w:val="none" w:sz="0" w:space="0" w:color="auto"/>
        <w:left w:val="none" w:sz="0" w:space="0" w:color="auto"/>
        <w:bottom w:val="none" w:sz="0" w:space="0" w:color="auto"/>
        <w:right w:val="none" w:sz="0" w:space="0" w:color="auto"/>
      </w:divBdr>
    </w:div>
    <w:div w:id="136918511">
      <w:bodyDiv w:val="1"/>
      <w:marLeft w:val="0"/>
      <w:marRight w:val="0"/>
      <w:marTop w:val="0"/>
      <w:marBottom w:val="0"/>
      <w:divBdr>
        <w:top w:val="none" w:sz="0" w:space="0" w:color="auto"/>
        <w:left w:val="none" w:sz="0" w:space="0" w:color="auto"/>
        <w:bottom w:val="none" w:sz="0" w:space="0" w:color="auto"/>
        <w:right w:val="none" w:sz="0" w:space="0" w:color="auto"/>
      </w:divBdr>
    </w:div>
    <w:div w:id="208538903">
      <w:bodyDiv w:val="1"/>
      <w:marLeft w:val="0"/>
      <w:marRight w:val="0"/>
      <w:marTop w:val="0"/>
      <w:marBottom w:val="0"/>
      <w:divBdr>
        <w:top w:val="none" w:sz="0" w:space="0" w:color="auto"/>
        <w:left w:val="none" w:sz="0" w:space="0" w:color="auto"/>
        <w:bottom w:val="none" w:sz="0" w:space="0" w:color="auto"/>
        <w:right w:val="none" w:sz="0" w:space="0" w:color="auto"/>
      </w:divBdr>
    </w:div>
    <w:div w:id="225457045">
      <w:bodyDiv w:val="1"/>
      <w:marLeft w:val="0"/>
      <w:marRight w:val="0"/>
      <w:marTop w:val="0"/>
      <w:marBottom w:val="0"/>
      <w:divBdr>
        <w:top w:val="none" w:sz="0" w:space="0" w:color="auto"/>
        <w:left w:val="none" w:sz="0" w:space="0" w:color="auto"/>
        <w:bottom w:val="none" w:sz="0" w:space="0" w:color="auto"/>
        <w:right w:val="none" w:sz="0" w:space="0" w:color="auto"/>
      </w:divBdr>
    </w:div>
    <w:div w:id="241642048">
      <w:bodyDiv w:val="1"/>
      <w:marLeft w:val="0"/>
      <w:marRight w:val="0"/>
      <w:marTop w:val="0"/>
      <w:marBottom w:val="0"/>
      <w:divBdr>
        <w:top w:val="none" w:sz="0" w:space="0" w:color="auto"/>
        <w:left w:val="none" w:sz="0" w:space="0" w:color="auto"/>
        <w:bottom w:val="none" w:sz="0" w:space="0" w:color="auto"/>
        <w:right w:val="none" w:sz="0" w:space="0" w:color="auto"/>
      </w:divBdr>
    </w:div>
    <w:div w:id="346909047">
      <w:bodyDiv w:val="1"/>
      <w:marLeft w:val="0"/>
      <w:marRight w:val="0"/>
      <w:marTop w:val="0"/>
      <w:marBottom w:val="0"/>
      <w:divBdr>
        <w:top w:val="none" w:sz="0" w:space="0" w:color="auto"/>
        <w:left w:val="none" w:sz="0" w:space="0" w:color="auto"/>
        <w:bottom w:val="none" w:sz="0" w:space="0" w:color="auto"/>
        <w:right w:val="none" w:sz="0" w:space="0" w:color="auto"/>
      </w:divBdr>
    </w:div>
    <w:div w:id="357245082">
      <w:bodyDiv w:val="1"/>
      <w:marLeft w:val="0"/>
      <w:marRight w:val="0"/>
      <w:marTop w:val="0"/>
      <w:marBottom w:val="0"/>
      <w:divBdr>
        <w:top w:val="none" w:sz="0" w:space="0" w:color="auto"/>
        <w:left w:val="none" w:sz="0" w:space="0" w:color="auto"/>
        <w:bottom w:val="none" w:sz="0" w:space="0" w:color="auto"/>
        <w:right w:val="none" w:sz="0" w:space="0" w:color="auto"/>
      </w:divBdr>
    </w:div>
    <w:div w:id="401829711">
      <w:bodyDiv w:val="1"/>
      <w:marLeft w:val="0"/>
      <w:marRight w:val="0"/>
      <w:marTop w:val="0"/>
      <w:marBottom w:val="0"/>
      <w:divBdr>
        <w:top w:val="none" w:sz="0" w:space="0" w:color="auto"/>
        <w:left w:val="none" w:sz="0" w:space="0" w:color="auto"/>
        <w:bottom w:val="none" w:sz="0" w:space="0" w:color="auto"/>
        <w:right w:val="none" w:sz="0" w:space="0" w:color="auto"/>
      </w:divBdr>
    </w:div>
    <w:div w:id="417753386">
      <w:bodyDiv w:val="1"/>
      <w:marLeft w:val="0"/>
      <w:marRight w:val="0"/>
      <w:marTop w:val="0"/>
      <w:marBottom w:val="0"/>
      <w:divBdr>
        <w:top w:val="none" w:sz="0" w:space="0" w:color="auto"/>
        <w:left w:val="none" w:sz="0" w:space="0" w:color="auto"/>
        <w:bottom w:val="none" w:sz="0" w:space="0" w:color="auto"/>
        <w:right w:val="none" w:sz="0" w:space="0" w:color="auto"/>
      </w:divBdr>
    </w:div>
    <w:div w:id="481389749">
      <w:bodyDiv w:val="1"/>
      <w:marLeft w:val="0"/>
      <w:marRight w:val="0"/>
      <w:marTop w:val="0"/>
      <w:marBottom w:val="0"/>
      <w:divBdr>
        <w:top w:val="none" w:sz="0" w:space="0" w:color="auto"/>
        <w:left w:val="none" w:sz="0" w:space="0" w:color="auto"/>
        <w:bottom w:val="none" w:sz="0" w:space="0" w:color="auto"/>
        <w:right w:val="none" w:sz="0" w:space="0" w:color="auto"/>
      </w:divBdr>
    </w:div>
    <w:div w:id="505903180">
      <w:bodyDiv w:val="1"/>
      <w:marLeft w:val="0"/>
      <w:marRight w:val="0"/>
      <w:marTop w:val="0"/>
      <w:marBottom w:val="0"/>
      <w:divBdr>
        <w:top w:val="none" w:sz="0" w:space="0" w:color="auto"/>
        <w:left w:val="none" w:sz="0" w:space="0" w:color="auto"/>
        <w:bottom w:val="none" w:sz="0" w:space="0" w:color="auto"/>
        <w:right w:val="none" w:sz="0" w:space="0" w:color="auto"/>
      </w:divBdr>
    </w:div>
    <w:div w:id="508839282">
      <w:bodyDiv w:val="1"/>
      <w:marLeft w:val="0"/>
      <w:marRight w:val="0"/>
      <w:marTop w:val="0"/>
      <w:marBottom w:val="0"/>
      <w:divBdr>
        <w:top w:val="none" w:sz="0" w:space="0" w:color="auto"/>
        <w:left w:val="none" w:sz="0" w:space="0" w:color="auto"/>
        <w:bottom w:val="none" w:sz="0" w:space="0" w:color="auto"/>
        <w:right w:val="none" w:sz="0" w:space="0" w:color="auto"/>
      </w:divBdr>
    </w:div>
    <w:div w:id="509367283">
      <w:bodyDiv w:val="1"/>
      <w:marLeft w:val="0"/>
      <w:marRight w:val="0"/>
      <w:marTop w:val="0"/>
      <w:marBottom w:val="0"/>
      <w:divBdr>
        <w:top w:val="none" w:sz="0" w:space="0" w:color="auto"/>
        <w:left w:val="none" w:sz="0" w:space="0" w:color="auto"/>
        <w:bottom w:val="none" w:sz="0" w:space="0" w:color="auto"/>
        <w:right w:val="none" w:sz="0" w:space="0" w:color="auto"/>
      </w:divBdr>
    </w:div>
    <w:div w:id="547955928">
      <w:bodyDiv w:val="1"/>
      <w:marLeft w:val="0"/>
      <w:marRight w:val="0"/>
      <w:marTop w:val="0"/>
      <w:marBottom w:val="0"/>
      <w:divBdr>
        <w:top w:val="none" w:sz="0" w:space="0" w:color="auto"/>
        <w:left w:val="none" w:sz="0" w:space="0" w:color="auto"/>
        <w:bottom w:val="none" w:sz="0" w:space="0" w:color="auto"/>
        <w:right w:val="none" w:sz="0" w:space="0" w:color="auto"/>
      </w:divBdr>
    </w:div>
    <w:div w:id="572810760">
      <w:bodyDiv w:val="1"/>
      <w:marLeft w:val="0"/>
      <w:marRight w:val="0"/>
      <w:marTop w:val="0"/>
      <w:marBottom w:val="0"/>
      <w:divBdr>
        <w:top w:val="none" w:sz="0" w:space="0" w:color="auto"/>
        <w:left w:val="none" w:sz="0" w:space="0" w:color="auto"/>
        <w:bottom w:val="none" w:sz="0" w:space="0" w:color="auto"/>
        <w:right w:val="none" w:sz="0" w:space="0" w:color="auto"/>
      </w:divBdr>
    </w:div>
    <w:div w:id="593782858">
      <w:bodyDiv w:val="1"/>
      <w:marLeft w:val="0"/>
      <w:marRight w:val="0"/>
      <w:marTop w:val="0"/>
      <w:marBottom w:val="0"/>
      <w:divBdr>
        <w:top w:val="none" w:sz="0" w:space="0" w:color="auto"/>
        <w:left w:val="none" w:sz="0" w:space="0" w:color="auto"/>
        <w:bottom w:val="none" w:sz="0" w:space="0" w:color="auto"/>
        <w:right w:val="none" w:sz="0" w:space="0" w:color="auto"/>
      </w:divBdr>
    </w:div>
    <w:div w:id="619579724">
      <w:bodyDiv w:val="1"/>
      <w:marLeft w:val="0"/>
      <w:marRight w:val="0"/>
      <w:marTop w:val="0"/>
      <w:marBottom w:val="0"/>
      <w:divBdr>
        <w:top w:val="none" w:sz="0" w:space="0" w:color="auto"/>
        <w:left w:val="none" w:sz="0" w:space="0" w:color="auto"/>
        <w:bottom w:val="none" w:sz="0" w:space="0" w:color="auto"/>
        <w:right w:val="none" w:sz="0" w:space="0" w:color="auto"/>
      </w:divBdr>
    </w:div>
    <w:div w:id="637220344">
      <w:bodyDiv w:val="1"/>
      <w:marLeft w:val="0"/>
      <w:marRight w:val="0"/>
      <w:marTop w:val="0"/>
      <w:marBottom w:val="0"/>
      <w:divBdr>
        <w:top w:val="none" w:sz="0" w:space="0" w:color="auto"/>
        <w:left w:val="none" w:sz="0" w:space="0" w:color="auto"/>
        <w:bottom w:val="none" w:sz="0" w:space="0" w:color="auto"/>
        <w:right w:val="none" w:sz="0" w:space="0" w:color="auto"/>
      </w:divBdr>
    </w:div>
    <w:div w:id="662465757">
      <w:bodyDiv w:val="1"/>
      <w:marLeft w:val="0"/>
      <w:marRight w:val="0"/>
      <w:marTop w:val="0"/>
      <w:marBottom w:val="0"/>
      <w:divBdr>
        <w:top w:val="none" w:sz="0" w:space="0" w:color="auto"/>
        <w:left w:val="none" w:sz="0" w:space="0" w:color="auto"/>
        <w:bottom w:val="none" w:sz="0" w:space="0" w:color="auto"/>
        <w:right w:val="none" w:sz="0" w:space="0" w:color="auto"/>
      </w:divBdr>
    </w:div>
    <w:div w:id="695279734">
      <w:bodyDiv w:val="1"/>
      <w:marLeft w:val="0"/>
      <w:marRight w:val="0"/>
      <w:marTop w:val="0"/>
      <w:marBottom w:val="0"/>
      <w:divBdr>
        <w:top w:val="none" w:sz="0" w:space="0" w:color="auto"/>
        <w:left w:val="none" w:sz="0" w:space="0" w:color="auto"/>
        <w:bottom w:val="none" w:sz="0" w:space="0" w:color="auto"/>
        <w:right w:val="none" w:sz="0" w:space="0" w:color="auto"/>
      </w:divBdr>
    </w:div>
    <w:div w:id="718407356">
      <w:bodyDiv w:val="1"/>
      <w:marLeft w:val="0"/>
      <w:marRight w:val="0"/>
      <w:marTop w:val="0"/>
      <w:marBottom w:val="0"/>
      <w:divBdr>
        <w:top w:val="none" w:sz="0" w:space="0" w:color="auto"/>
        <w:left w:val="none" w:sz="0" w:space="0" w:color="auto"/>
        <w:bottom w:val="none" w:sz="0" w:space="0" w:color="auto"/>
        <w:right w:val="none" w:sz="0" w:space="0" w:color="auto"/>
      </w:divBdr>
    </w:div>
    <w:div w:id="743650922">
      <w:bodyDiv w:val="1"/>
      <w:marLeft w:val="0"/>
      <w:marRight w:val="0"/>
      <w:marTop w:val="0"/>
      <w:marBottom w:val="0"/>
      <w:divBdr>
        <w:top w:val="none" w:sz="0" w:space="0" w:color="auto"/>
        <w:left w:val="none" w:sz="0" w:space="0" w:color="auto"/>
        <w:bottom w:val="none" w:sz="0" w:space="0" w:color="auto"/>
        <w:right w:val="none" w:sz="0" w:space="0" w:color="auto"/>
      </w:divBdr>
    </w:div>
    <w:div w:id="757365805">
      <w:bodyDiv w:val="1"/>
      <w:marLeft w:val="0"/>
      <w:marRight w:val="0"/>
      <w:marTop w:val="0"/>
      <w:marBottom w:val="0"/>
      <w:divBdr>
        <w:top w:val="none" w:sz="0" w:space="0" w:color="auto"/>
        <w:left w:val="none" w:sz="0" w:space="0" w:color="auto"/>
        <w:bottom w:val="none" w:sz="0" w:space="0" w:color="auto"/>
        <w:right w:val="none" w:sz="0" w:space="0" w:color="auto"/>
      </w:divBdr>
    </w:div>
    <w:div w:id="776829834">
      <w:bodyDiv w:val="1"/>
      <w:marLeft w:val="0"/>
      <w:marRight w:val="0"/>
      <w:marTop w:val="0"/>
      <w:marBottom w:val="0"/>
      <w:divBdr>
        <w:top w:val="none" w:sz="0" w:space="0" w:color="auto"/>
        <w:left w:val="none" w:sz="0" w:space="0" w:color="auto"/>
        <w:bottom w:val="none" w:sz="0" w:space="0" w:color="auto"/>
        <w:right w:val="none" w:sz="0" w:space="0" w:color="auto"/>
      </w:divBdr>
    </w:div>
    <w:div w:id="785465389">
      <w:bodyDiv w:val="1"/>
      <w:marLeft w:val="0"/>
      <w:marRight w:val="0"/>
      <w:marTop w:val="0"/>
      <w:marBottom w:val="0"/>
      <w:divBdr>
        <w:top w:val="none" w:sz="0" w:space="0" w:color="auto"/>
        <w:left w:val="none" w:sz="0" w:space="0" w:color="auto"/>
        <w:bottom w:val="none" w:sz="0" w:space="0" w:color="auto"/>
        <w:right w:val="none" w:sz="0" w:space="0" w:color="auto"/>
      </w:divBdr>
    </w:div>
    <w:div w:id="786582158">
      <w:bodyDiv w:val="1"/>
      <w:marLeft w:val="0"/>
      <w:marRight w:val="0"/>
      <w:marTop w:val="0"/>
      <w:marBottom w:val="0"/>
      <w:divBdr>
        <w:top w:val="none" w:sz="0" w:space="0" w:color="auto"/>
        <w:left w:val="none" w:sz="0" w:space="0" w:color="auto"/>
        <w:bottom w:val="none" w:sz="0" w:space="0" w:color="auto"/>
        <w:right w:val="none" w:sz="0" w:space="0" w:color="auto"/>
      </w:divBdr>
    </w:div>
    <w:div w:id="800266877">
      <w:bodyDiv w:val="1"/>
      <w:marLeft w:val="0"/>
      <w:marRight w:val="0"/>
      <w:marTop w:val="0"/>
      <w:marBottom w:val="0"/>
      <w:divBdr>
        <w:top w:val="none" w:sz="0" w:space="0" w:color="auto"/>
        <w:left w:val="none" w:sz="0" w:space="0" w:color="auto"/>
        <w:bottom w:val="none" w:sz="0" w:space="0" w:color="auto"/>
        <w:right w:val="none" w:sz="0" w:space="0" w:color="auto"/>
      </w:divBdr>
    </w:div>
    <w:div w:id="832330369">
      <w:bodyDiv w:val="1"/>
      <w:marLeft w:val="0"/>
      <w:marRight w:val="0"/>
      <w:marTop w:val="0"/>
      <w:marBottom w:val="0"/>
      <w:divBdr>
        <w:top w:val="none" w:sz="0" w:space="0" w:color="auto"/>
        <w:left w:val="none" w:sz="0" w:space="0" w:color="auto"/>
        <w:bottom w:val="none" w:sz="0" w:space="0" w:color="auto"/>
        <w:right w:val="none" w:sz="0" w:space="0" w:color="auto"/>
      </w:divBdr>
    </w:div>
    <w:div w:id="883370812">
      <w:bodyDiv w:val="1"/>
      <w:marLeft w:val="0"/>
      <w:marRight w:val="0"/>
      <w:marTop w:val="0"/>
      <w:marBottom w:val="0"/>
      <w:divBdr>
        <w:top w:val="none" w:sz="0" w:space="0" w:color="auto"/>
        <w:left w:val="none" w:sz="0" w:space="0" w:color="auto"/>
        <w:bottom w:val="none" w:sz="0" w:space="0" w:color="auto"/>
        <w:right w:val="none" w:sz="0" w:space="0" w:color="auto"/>
      </w:divBdr>
    </w:div>
    <w:div w:id="909312446">
      <w:bodyDiv w:val="1"/>
      <w:marLeft w:val="0"/>
      <w:marRight w:val="0"/>
      <w:marTop w:val="0"/>
      <w:marBottom w:val="0"/>
      <w:divBdr>
        <w:top w:val="none" w:sz="0" w:space="0" w:color="auto"/>
        <w:left w:val="none" w:sz="0" w:space="0" w:color="auto"/>
        <w:bottom w:val="none" w:sz="0" w:space="0" w:color="auto"/>
        <w:right w:val="none" w:sz="0" w:space="0" w:color="auto"/>
      </w:divBdr>
    </w:div>
    <w:div w:id="917401721">
      <w:bodyDiv w:val="1"/>
      <w:marLeft w:val="0"/>
      <w:marRight w:val="0"/>
      <w:marTop w:val="0"/>
      <w:marBottom w:val="0"/>
      <w:divBdr>
        <w:top w:val="none" w:sz="0" w:space="0" w:color="auto"/>
        <w:left w:val="none" w:sz="0" w:space="0" w:color="auto"/>
        <w:bottom w:val="none" w:sz="0" w:space="0" w:color="auto"/>
        <w:right w:val="none" w:sz="0" w:space="0" w:color="auto"/>
      </w:divBdr>
    </w:div>
    <w:div w:id="966006004">
      <w:bodyDiv w:val="1"/>
      <w:marLeft w:val="0"/>
      <w:marRight w:val="0"/>
      <w:marTop w:val="0"/>
      <w:marBottom w:val="0"/>
      <w:divBdr>
        <w:top w:val="none" w:sz="0" w:space="0" w:color="auto"/>
        <w:left w:val="none" w:sz="0" w:space="0" w:color="auto"/>
        <w:bottom w:val="none" w:sz="0" w:space="0" w:color="auto"/>
        <w:right w:val="none" w:sz="0" w:space="0" w:color="auto"/>
      </w:divBdr>
    </w:div>
    <w:div w:id="1006710143">
      <w:bodyDiv w:val="1"/>
      <w:marLeft w:val="0"/>
      <w:marRight w:val="0"/>
      <w:marTop w:val="0"/>
      <w:marBottom w:val="0"/>
      <w:divBdr>
        <w:top w:val="none" w:sz="0" w:space="0" w:color="auto"/>
        <w:left w:val="none" w:sz="0" w:space="0" w:color="auto"/>
        <w:bottom w:val="none" w:sz="0" w:space="0" w:color="auto"/>
        <w:right w:val="none" w:sz="0" w:space="0" w:color="auto"/>
      </w:divBdr>
    </w:div>
    <w:div w:id="1042365899">
      <w:bodyDiv w:val="1"/>
      <w:marLeft w:val="0"/>
      <w:marRight w:val="0"/>
      <w:marTop w:val="0"/>
      <w:marBottom w:val="0"/>
      <w:divBdr>
        <w:top w:val="none" w:sz="0" w:space="0" w:color="auto"/>
        <w:left w:val="none" w:sz="0" w:space="0" w:color="auto"/>
        <w:bottom w:val="none" w:sz="0" w:space="0" w:color="auto"/>
        <w:right w:val="none" w:sz="0" w:space="0" w:color="auto"/>
      </w:divBdr>
    </w:div>
    <w:div w:id="1116290550">
      <w:bodyDiv w:val="1"/>
      <w:marLeft w:val="0"/>
      <w:marRight w:val="0"/>
      <w:marTop w:val="0"/>
      <w:marBottom w:val="0"/>
      <w:divBdr>
        <w:top w:val="none" w:sz="0" w:space="0" w:color="auto"/>
        <w:left w:val="none" w:sz="0" w:space="0" w:color="auto"/>
        <w:bottom w:val="none" w:sz="0" w:space="0" w:color="auto"/>
        <w:right w:val="none" w:sz="0" w:space="0" w:color="auto"/>
      </w:divBdr>
    </w:div>
    <w:div w:id="1158767057">
      <w:bodyDiv w:val="1"/>
      <w:marLeft w:val="0"/>
      <w:marRight w:val="0"/>
      <w:marTop w:val="0"/>
      <w:marBottom w:val="0"/>
      <w:divBdr>
        <w:top w:val="none" w:sz="0" w:space="0" w:color="auto"/>
        <w:left w:val="none" w:sz="0" w:space="0" w:color="auto"/>
        <w:bottom w:val="none" w:sz="0" w:space="0" w:color="auto"/>
        <w:right w:val="none" w:sz="0" w:space="0" w:color="auto"/>
      </w:divBdr>
    </w:div>
    <w:div w:id="1186598853">
      <w:bodyDiv w:val="1"/>
      <w:marLeft w:val="0"/>
      <w:marRight w:val="0"/>
      <w:marTop w:val="0"/>
      <w:marBottom w:val="0"/>
      <w:divBdr>
        <w:top w:val="none" w:sz="0" w:space="0" w:color="auto"/>
        <w:left w:val="none" w:sz="0" w:space="0" w:color="auto"/>
        <w:bottom w:val="none" w:sz="0" w:space="0" w:color="auto"/>
        <w:right w:val="none" w:sz="0" w:space="0" w:color="auto"/>
      </w:divBdr>
    </w:div>
    <w:div w:id="1223567413">
      <w:bodyDiv w:val="1"/>
      <w:marLeft w:val="0"/>
      <w:marRight w:val="0"/>
      <w:marTop w:val="0"/>
      <w:marBottom w:val="0"/>
      <w:divBdr>
        <w:top w:val="none" w:sz="0" w:space="0" w:color="auto"/>
        <w:left w:val="none" w:sz="0" w:space="0" w:color="auto"/>
        <w:bottom w:val="none" w:sz="0" w:space="0" w:color="auto"/>
        <w:right w:val="none" w:sz="0" w:space="0" w:color="auto"/>
      </w:divBdr>
    </w:div>
    <w:div w:id="1264804730">
      <w:bodyDiv w:val="1"/>
      <w:marLeft w:val="0"/>
      <w:marRight w:val="0"/>
      <w:marTop w:val="0"/>
      <w:marBottom w:val="0"/>
      <w:divBdr>
        <w:top w:val="none" w:sz="0" w:space="0" w:color="auto"/>
        <w:left w:val="none" w:sz="0" w:space="0" w:color="auto"/>
        <w:bottom w:val="none" w:sz="0" w:space="0" w:color="auto"/>
        <w:right w:val="none" w:sz="0" w:space="0" w:color="auto"/>
      </w:divBdr>
    </w:div>
    <w:div w:id="1311713175">
      <w:bodyDiv w:val="1"/>
      <w:marLeft w:val="0"/>
      <w:marRight w:val="0"/>
      <w:marTop w:val="0"/>
      <w:marBottom w:val="0"/>
      <w:divBdr>
        <w:top w:val="none" w:sz="0" w:space="0" w:color="auto"/>
        <w:left w:val="none" w:sz="0" w:space="0" w:color="auto"/>
        <w:bottom w:val="none" w:sz="0" w:space="0" w:color="auto"/>
        <w:right w:val="none" w:sz="0" w:space="0" w:color="auto"/>
      </w:divBdr>
    </w:div>
    <w:div w:id="1318462807">
      <w:bodyDiv w:val="1"/>
      <w:marLeft w:val="0"/>
      <w:marRight w:val="0"/>
      <w:marTop w:val="0"/>
      <w:marBottom w:val="0"/>
      <w:divBdr>
        <w:top w:val="none" w:sz="0" w:space="0" w:color="auto"/>
        <w:left w:val="none" w:sz="0" w:space="0" w:color="auto"/>
        <w:bottom w:val="none" w:sz="0" w:space="0" w:color="auto"/>
        <w:right w:val="none" w:sz="0" w:space="0" w:color="auto"/>
      </w:divBdr>
    </w:div>
    <w:div w:id="1365666445">
      <w:bodyDiv w:val="1"/>
      <w:marLeft w:val="0"/>
      <w:marRight w:val="0"/>
      <w:marTop w:val="0"/>
      <w:marBottom w:val="0"/>
      <w:divBdr>
        <w:top w:val="none" w:sz="0" w:space="0" w:color="auto"/>
        <w:left w:val="none" w:sz="0" w:space="0" w:color="auto"/>
        <w:bottom w:val="none" w:sz="0" w:space="0" w:color="auto"/>
        <w:right w:val="none" w:sz="0" w:space="0" w:color="auto"/>
      </w:divBdr>
    </w:div>
    <w:div w:id="1384138700">
      <w:bodyDiv w:val="1"/>
      <w:marLeft w:val="0"/>
      <w:marRight w:val="0"/>
      <w:marTop w:val="0"/>
      <w:marBottom w:val="0"/>
      <w:divBdr>
        <w:top w:val="none" w:sz="0" w:space="0" w:color="auto"/>
        <w:left w:val="none" w:sz="0" w:space="0" w:color="auto"/>
        <w:bottom w:val="none" w:sz="0" w:space="0" w:color="auto"/>
        <w:right w:val="none" w:sz="0" w:space="0" w:color="auto"/>
      </w:divBdr>
    </w:div>
    <w:div w:id="1386643246">
      <w:bodyDiv w:val="1"/>
      <w:marLeft w:val="0"/>
      <w:marRight w:val="0"/>
      <w:marTop w:val="0"/>
      <w:marBottom w:val="0"/>
      <w:divBdr>
        <w:top w:val="none" w:sz="0" w:space="0" w:color="auto"/>
        <w:left w:val="none" w:sz="0" w:space="0" w:color="auto"/>
        <w:bottom w:val="none" w:sz="0" w:space="0" w:color="auto"/>
        <w:right w:val="none" w:sz="0" w:space="0" w:color="auto"/>
      </w:divBdr>
    </w:div>
    <w:div w:id="1391079043">
      <w:bodyDiv w:val="1"/>
      <w:marLeft w:val="0"/>
      <w:marRight w:val="0"/>
      <w:marTop w:val="0"/>
      <w:marBottom w:val="0"/>
      <w:divBdr>
        <w:top w:val="none" w:sz="0" w:space="0" w:color="auto"/>
        <w:left w:val="none" w:sz="0" w:space="0" w:color="auto"/>
        <w:bottom w:val="none" w:sz="0" w:space="0" w:color="auto"/>
        <w:right w:val="none" w:sz="0" w:space="0" w:color="auto"/>
      </w:divBdr>
    </w:div>
    <w:div w:id="1411779867">
      <w:bodyDiv w:val="1"/>
      <w:marLeft w:val="0"/>
      <w:marRight w:val="0"/>
      <w:marTop w:val="0"/>
      <w:marBottom w:val="0"/>
      <w:divBdr>
        <w:top w:val="none" w:sz="0" w:space="0" w:color="auto"/>
        <w:left w:val="none" w:sz="0" w:space="0" w:color="auto"/>
        <w:bottom w:val="none" w:sz="0" w:space="0" w:color="auto"/>
        <w:right w:val="none" w:sz="0" w:space="0" w:color="auto"/>
      </w:divBdr>
    </w:div>
    <w:div w:id="1457138787">
      <w:bodyDiv w:val="1"/>
      <w:marLeft w:val="0"/>
      <w:marRight w:val="0"/>
      <w:marTop w:val="0"/>
      <w:marBottom w:val="0"/>
      <w:divBdr>
        <w:top w:val="none" w:sz="0" w:space="0" w:color="auto"/>
        <w:left w:val="none" w:sz="0" w:space="0" w:color="auto"/>
        <w:bottom w:val="none" w:sz="0" w:space="0" w:color="auto"/>
        <w:right w:val="none" w:sz="0" w:space="0" w:color="auto"/>
      </w:divBdr>
    </w:div>
    <w:div w:id="1532112160">
      <w:bodyDiv w:val="1"/>
      <w:marLeft w:val="0"/>
      <w:marRight w:val="0"/>
      <w:marTop w:val="0"/>
      <w:marBottom w:val="0"/>
      <w:divBdr>
        <w:top w:val="none" w:sz="0" w:space="0" w:color="auto"/>
        <w:left w:val="none" w:sz="0" w:space="0" w:color="auto"/>
        <w:bottom w:val="none" w:sz="0" w:space="0" w:color="auto"/>
        <w:right w:val="none" w:sz="0" w:space="0" w:color="auto"/>
      </w:divBdr>
    </w:div>
    <w:div w:id="1547911158">
      <w:bodyDiv w:val="1"/>
      <w:marLeft w:val="0"/>
      <w:marRight w:val="0"/>
      <w:marTop w:val="0"/>
      <w:marBottom w:val="0"/>
      <w:divBdr>
        <w:top w:val="none" w:sz="0" w:space="0" w:color="auto"/>
        <w:left w:val="none" w:sz="0" w:space="0" w:color="auto"/>
        <w:bottom w:val="none" w:sz="0" w:space="0" w:color="auto"/>
        <w:right w:val="none" w:sz="0" w:space="0" w:color="auto"/>
      </w:divBdr>
    </w:div>
    <w:div w:id="1588416397">
      <w:bodyDiv w:val="1"/>
      <w:marLeft w:val="0"/>
      <w:marRight w:val="0"/>
      <w:marTop w:val="0"/>
      <w:marBottom w:val="0"/>
      <w:divBdr>
        <w:top w:val="none" w:sz="0" w:space="0" w:color="auto"/>
        <w:left w:val="none" w:sz="0" w:space="0" w:color="auto"/>
        <w:bottom w:val="none" w:sz="0" w:space="0" w:color="auto"/>
        <w:right w:val="none" w:sz="0" w:space="0" w:color="auto"/>
      </w:divBdr>
    </w:div>
    <w:div w:id="1620524829">
      <w:bodyDiv w:val="1"/>
      <w:marLeft w:val="0"/>
      <w:marRight w:val="0"/>
      <w:marTop w:val="0"/>
      <w:marBottom w:val="0"/>
      <w:divBdr>
        <w:top w:val="none" w:sz="0" w:space="0" w:color="auto"/>
        <w:left w:val="none" w:sz="0" w:space="0" w:color="auto"/>
        <w:bottom w:val="none" w:sz="0" w:space="0" w:color="auto"/>
        <w:right w:val="none" w:sz="0" w:space="0" w:color="auto"/>
      </w:divBdr>
    </w:div>
    <w:div w:id="1663044197">
      <w:bodyDiv w:val="1"/>
      <w:marLeft w:val="0"/>
      <w:marRight w:val="0"/>
      <w:marTop w:val="0"/>
      <w:marBottom w:val="0"/>
      <w:divBdr>
        <w:top w:val="none" w:sz="0" w:space="0" w:color="auto"/>
        <w:left w:val="none" w:sz="0" w:space="0" w:color="auto"/>
        <w:bottom w:val="none" w:sz="0" w:space="0" w:color="auto"/>
        <w:right w:val="none" w:sz="0" w:space="0" w:color="auto"/>
      </w:divBdr>
    </w:div>
    <w:div w:id="1669942644">
      <w:bodyDiv w:val="1"/>
      <w:marLeft w:val="0"/>
      <w:marRight w:val="0"/>
      <w:marTop w:val="0"/>
      <w:marBottom w:val="0"/>
      <w:divBdr>
        <w:top w:val="none" w:sz="0" w:space="0" w:color="auto"/>
        <w:left w:val="none" w:sz="0" w:space="0" w:color="auto"/>
        <w:bottom w:val="none" w:sz="0" w:space="0" w:color="auto"/>
        <w:right w:val="none" w:sz="0" w:space="0" w:color="auto"/>
      </w:divBdr>
    </w:div>
    <w:div w:id="1717118929">
      <w:bodyDiv w:val="1"/>
      <w:marLeft w:val="0"/>
      <w:marRight w:val="0"/>
      <w:marTop w:val="0"/>
      <w:marBottom w:val="0"/>
      <w:divBdr>
        <w:top w:val="none" w:sz="0" w:space="0" w:color="auto"/>
        <w:left w:val="none" w:sz="0" w:space="0" w:color="auto"/>
        <w:bottom w:val="none" w:sz="0" w:space="0" w:color="auto"/>
        <w:right w:val="none" w:sz="0" w:space="0" w:color="auto"/>
      </w:divBdr>
    </w:div>
    <w:div w:id="1738701733">
      <w:bodyDiv w:val="1"/>
      <w:marLeft w:val="0"/>
      <w:marRight w:val="0"/>
      <w:marTop w:val="0"/>
      <w:marBottom w:val="0"/>
      <w:divBdr>
        <w:top w:val="none" w:sz="0" w:space="0" w:color="auto"/>
        <w:left w:val="none" w:sz="0" w:space="0" w:color="auto"/>
        <w:bottom w:val="none" w:sz="0" w:space="0" w:color="auto"/>
        <w:right w:val="none" w:sz="0" w:space="0" w:color="auto"/>
      </w:divBdr>
    </w:div>
    <w:div w:id="1764957422">
      <w:bodyDiv w:val="1"/>
      <w:marLeft w:val="0"/>
      <w:marRight w:val="0"/>
      <w:marTop w:val="0"/>
      <w:marBottom w:val="0"/>
      <w:divBdr>
        <w:top w:val="none" w:sz="0" w:space="0" w:color="auto"/>
        <w:left w:val="none" w:sz="0" w:space="0" w:color="auto"/>
        <w:bottom w:val="none" w:sz="0" w:space="0" w:color="auto"/>
        <w:right w:val="none" w:sz="0" w:space="0" w:color="auto"/>
      </w:divBdr>
    </w:div>
    <w:div w:id="1769159347">
      <w:bodyDiv w:val="1"/>
      <w:marLeft w:val="0"/>
      <w:marRight w:val="0"/>
      <w:marTop w:val="0"/>
      <w:marBottom w:val="0"/>
      <w:divBdr>
        <w:top w:val="none" w:sz="0" w:space="0" w:color="auto"/>
        <w:left w:val="none" w:sz="0" w:space="0" w:color="auto"/>
        <w:bottom w:val="none" w:sz="0" w:space="0" w:color="auto"/>
        <w:right w:val="none" w:sz="0" w:space="0" w:color="auto"/>
      </w:divBdr>
    </w:div>
    <w:div w:id="1829327035">
      <w:bodyDiv w:val="1"/>
      <w:marLeft w:val="0"/>
      <w:marRight w:val="0"/>
      <w:marTop w:val="0"/>
      <w:marBottom w:val="0"/>
      <w:divBdr>
        <w:top w:val="none" w:sz="0" w:space="0" w:color="auto"/>
        <w:left w:val="none" w:sz="0" w:space="0" w:color="auto"/>
        <w:bottom w:val="none" w:sz="0" w:space="0" w:color="auto"/>
        <w:right w:val="none" w:sz="0" w:space="0" w:color="auto"/>
      </w:divBdr>
    </w:div>
    <w:div w:id="1879317043">
      <w:bodyDiv w:val="1"/>
      <w:marLeft w:val="0"/>
      <w:marRight w:val="0"/>
      <w:marTop w:val="0"/>
      <w:marBottom w:val="0"/>
      <w:divBdr>
        <w:top w:val="none" w:sz="0" w:space="0" w:color="auto"/>
        <w:left w:val="none" w:sz="0" w:space="0" w:color="auto"/>
        <w:bottom w:val="none" w:sz="0" w:space="0" w:color="auto"/>
        <w:right w:val="none" w:sz="0" w:space="0" w:color="auto"/>
      </w:divBdr>
    </w:div>
    <w:div w:id="1891729079">
      <w:bodyDiv w:val="1"/>
      <w:marLeft w:val="0"/>
      <w:marRight w:val="0"/>
      <w:marTop w:val="0"/>
      <w:marBottom w:val="0"/>
      <w:divBdr>
        <w:top w:val="none" w:sz="0" w:space="0" w:color="auto"/>
        <w:left w:val="none" w:sz="0" w:space="0" w:color="auto"/>
        <w:bottom w:val="none" w:sz="0" w:space="0" w:color="auto"/>
        <w:right w:val="none" w:sz="0" w:space="0" w:color="auto"/>
      </w:divBdr>
    </w:div>
    <w:div w:id="1897742949">
      <w:bodyDiv w:val="1"/>
      <w:marLeft w:val="0"/>
      <w:marRight w:val="0"/>
      <w:marTop w:val="0"/>
      <w:marBottom w:val="0"/>
      <w:divBdr>
        <w:top w:val="none" w:sz="0" w:space="0" w:color="auto"/>
        <w:left w:val="none" w:sz="0" w:space="0" w:color="auto"/>
        <w:bottom w:val="none" w:sz="0" w:space="0" w:color="auto"/>
        <w:right w:val="none" w:sz="0" w:space="0" w:color="auto"/>
      </w:divBdr>
    </w:div>
    <w:div w:id="1906262261">
      <w:bodyDiv w:val="1"/>
      <w:marLeft w:val="0"/>
      <w:marRight w:val="0"/>
      <w:marTop w:val="0"/>
      <w:marBottom w:val="0"/>
      <w:divBdr>
        <w:top w:val="none" w:sz="0" w:space="0" w:color="auto"/>
        <w:left w:val="none" w:sz="0" w:space="0" w:color="auto"/>
        <w:bottom w:val="none" w:sz="0" w:space="0" w:color="auto"/>
        <w:right w:val="none" w:sz="0" w:space="0" w:color="auto"/>
      </w:divBdr>
    </w:div>
    <w:div w:id="1928071062">
      <w:bodyDiv w:val="1"/>
      <w:marLeft w:val="0"/>
      <w:marRight w:val="0"/>
      <w:marTop w:val="0"/>
      <w:marBottom w:val="0"/>
      <w:divBdr>
        <w:top w:val="none" w:sz="0" w:space="0" w:color="auto"/>
        <w:left w:val="none" w:sz="0" w:space="0" w:color="auto"/>
        <w:bottom w:val="none" w:sz="0" w:space="0" w:color="auto"/>
        <w:right w:val="none" w:sz="0" w:space="0" w:color="auto"/>
      </w:divBdr>
    </w:div>
    <w:div w:id="1935237161">
      <w:bodyDiv w:val="1"/>
      <w:marLeft w:val="0"/>
      <w:marRight w:val="0"/>
      <w:marTop w:val="0"/>
      <w:marBottom w:val="0"/>
      <w:divBdr>
        <w:top w:val="none" w:sz="0" w:space="0" w:color="auto"/>
        <w:left w:val="none" w:sz="0" w:space="0" w:color="auto"/>
        <w:bottom w:val="none" w:sz="0" w:space="0" w:color="auto"/>
        <w:right w:val="none" w:sz="0" w:space="0" w:color="auto"/>
      </w:divBdr>
    </w:div>
    <w:div w:id="1939680563">
      <w:bodyDiv w:val="1"/>
      <w:marLeft w:val="0"/>
      <w:marRight w:val="0"/>
      <w:marTop w:val="0"/>
      <w:marBottom w:val="0"/>
      <w:divBdr>
        <w:top w:val="none" w:sz="0" w:space="0" w:color="auto"/>
        <w:left w:val="none" w:sz="0" w:space="0" w:color="auto"/>
        <w:bottom w:val="none" w:sz="0" w:space="0" w:color="auto"/>
        <w:right w:val="none" w:sz="0" w:space="0" w:color="auto"/>
      </w:divBdr>
    </w:div>
    <w:div w:id="1986547588">
      <w:bodyDiv w:val="1"/>
      <w:marLeft w:val="0"/>
      <w:marRight w:val="0"/>
      <w:marTop w:val="0"/>
      <w:marBottom w:val="0"/>
      <w:divBdr>
        <w:top w:val="none" w:sz="0" w:space="0" w:color="auto"/>
        <w:left w:val="none" w:sz="0" w:space="0" w:color="auto"/>
        <w:bottom w:val="none" w:sz="0" w:space="0" w:color="auto"/>
        <w:right w:val="none" w:sz="0" w:space="0" w:color="auto"/>
      </w:divBdr>
    </w:div>
    <w:div w:id="1989017795">
      <w:bodyDiv w:val="1"/>
      <w:marLeft w:val="0"/>
      <w:marRight w:val="0"/>
      <w:marTop w:val="0"/>
      <w:marBottom w:val="0"/>
      <w:divBdr>
        <w:top w:val="none" w:sz="0" w:space="0" w:color="auto"/>
        <w:left w:val="none" w:sz="0" w:space="0" w:color="auto"/>
        <w:bottom w:val="none" w:sz="0" w:space="0" w:color="auto"/>
        <w:right w:val="none" w:sz="0" w:space="0" w:color="auto"/>
      </w:divBdr>
    </w:div>
    <w:div w:id="2010866117">
      <w:bodyDiv w:val="1"/>
      <w:marLeft w:val="0"/>
      <w:marRight w:val="0"/>
      <w:marTop w:val="0"/>
      <w:marBottom w:val="0"/>
      <w:divBdr>
        <w:top w:val="none" w:sz="0" w:space="0" w:color="auto"/>
        <w:left w:val="none" w:sz="0" w:space="0" w:color="auto"/>
        <w:bottom w:val="none" w:sz="0" w:space="0" w:color="auto"/>
        <w:right w:val="none" w:sz="0" w:space="0" w:color="auto"/>
      </w:divBdr>
    </w:div>
    <w:div w:id="2110814101">
      <w:bodyDiv w:val="1"/>
      <w:marLeft w:val="0"/>
      <w:marRight w:val="0"/>
      <w:marTop w:val="0"/>
      <w:marBottom w:val="0"/>
      <w:divBdr>
        <w:top w:val="none" w:sz="0" w:space="0" w:color="auto"/>
        <w:left w:val="none" w:sz="0" w:space="0" w:color="auto"/>
        <w:bottom w:val="none" w:sz="0" w:space="0" w:color="auto"/>
        <w:right w:val="none" w:sz="0" w:space="0" w:color="auto"/>
      </w:divBdr>
    </w:div>
    <w:div w:id="2135052493">
      <w:bodyDiv w:val="1"/>
      <w:marLeft w:val="0"/>
      <w:marRight w:val="0"/>
      <w:marTop w:val="0"/>
      <w:marBottom w:val="0"/>
      <w:divBdr>
        <w:top w:val="none" w:sz="0" w:space="0" w:color="auto"/>
        <w:left w:val="none" w:sz="0" w:space="0" w:color="auto"/>
        <w:bottom w:val="none" w:sz="0" w:space="0" w:color="auto"/>
        <w:right w:val="none" w:sz="0" w:space="0" w:color="auto"/>
      </w:divBdr>
    </w:div>
    <w:div w:id="21440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BA7C-0D8F-489E-990E-17AEEEC6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21</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2017-07-21T06:22:00Z</cp:lastPrinted>
  <dcterms:created xsi:type="dcterms:W3CDTF">2017-07-18T04:23:00Z</dcterms:created>
  <dcterms:modified xsi:type="dcterms:W3CDTF">2017-07-25T01:45:00Z</dcterms:modified>
</cp:coreProperties>
</file>