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F3" w:rsidRDefault="00964AF3" w:rsidP="00CE34C8">
      <w:pPr>
        <w:jc w:val="center"/>
        <w:rPr>
          <w:rFonts w:ascii="仿宋" w:eastAsia="仿宋" w:hAnsi="仿宋" w:cs="Times New Roman" w:hint="eastAsia"/>
          <w:sz w:val="44"/>
          <w:szCs w:val="44"/>
        </w:rPr>
      </w:pPr>
    </w:p>
    <w:p w:rsidR="004C1C29" w:rsidRDefault="004C1C29" w:rsidP="00964AF3">
      <w:pPr>
        <w:jc w:val="center"/>
        <w:rPr>
          <w:rFonts w:ascii="华文中宋" w:eastAsia="华文中宋" w:hAnsi="华文中宋"/>
          <w:sz w:val="44"/>
          <w:szCs w:val="44"/>
        </w:rPr>
      </w:pPr>
    </w:p>
    <w:p w:rsidR="004C1C29" w:rsidRDefault="004C1C29" w:rsidP="00964AF3">
      <w:pPr>
        <w:jc w:val="center"/>
        <w:rPr>
          <w:rFonts w:ascii="华文中宋" w:eastAsia="华文中宋" w:hAnsi="华文中宋"/>
          <w:sz w:val="44"/>
          <w:szCs w:val="44"/>
        </w:rPr>
      </w:pPr>
    </w:p>
    <w:p w:rsidR="00964AF3" w:rsidRPr="004C1C29" w:rsidRDefault="00150250" w:rsidP="00964AF3">
      <w:pPr>
        <w:jc w:val="center"/>
        <w:rPr>
          <w:rFonts w:ascii="华文中宋" w:eastAsia="华文中宋" w:hAnsi="华文中宋"/>
          <w:sz w:val="44"/>
          <w:szCs w:val="44"/>
        </w:rPr>
      </w:pPr>
      <w:r w:rsidRPr="00150250">
        <w:rPr>
          <w:rFonts w:ascii="华文中宋" w:eastAsia="华文中宋" w:hAnsi="华文中宋" w:hint="eastAsia"/>
          <w:sz w:val="44"/>
          <w:szCs w:val="44"/>
        </w:rPr>
        <w:t>中国政法大学2</w:t>
      </w:r>
      <w:r w:rsidR="001910F3">
        <w:rPr>
          <w:rFonts w:ascii="华文中宋" w:eastAsia="华文中宋" w:hAnsi="华文中宋" w:hint="eastAsia"/>
          <w:sz w:val="44"/>
          <w:szCs w:val="44"/>
        </w:rPr>
        <w:t>017</w:t>
      </w:r>
      <w:r w:rsidRPr="00150250">
        <w:rPr>
          <w:rFonts w:ascii="华文中宋" w:eastAsia="华文中宋" w:hAnsi="华文中宋" w:hint="eastAsia"/>
          <w:sz w:val="44"/>
          <w:szCs w:val="44"/>
        </w:rPr>
        <w:t>年度部门决算</w:t>
      </w: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6E6BC3" w:rsidRDefault="006E6BC3" w:rsidP="00964AF3">
      <w:pPr>
        <w:jc w:val="center"/>
        <w:rPr>
          <w:rFonts w:ascii="黑体" w:eastAsia="黑体" w:hAnsi="黑体"/>
          <w:sz w:val="32"/>
          <w:szCs w:val="32"/>
        </w:rPr>
      </w:pPr>
    </w:p>
    <w:p w:rsidR="006E6BC3" w:rsidRPr="004C1C29" w:rsidRDefault="006E6BC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4C1C29" w:rsidRDefault="001910F3" w:rsidP="004C1C29">
      <w:pPr>
        <w:jc w:val="center"/>
        <w:rPr>
          <w:rFonts w:ascii="华文中宋" w:eastAsia="华文中宋" w:hAnsi="华文中宋"/>
          <w:sz w:val="32"/>
          <w:szCs w:val="32"/>
        </w:rPr>
      </w:pPr>
      <w:r>
        <w:rPr>
          <w:rFonts w:ascii="华文中宋" w:eastAsia="华文中宋" w:hAnsi="华文中宋" w:cs="华文中宋" w:hint="eastAsia"/>
          <w:sz w:val="32"/>
          <w:szCs w:val="32"/>
        </w:rPr>
        <w:t>2018</w:t>
      </w:r>
      <w:r w:rsidR="00150250">
        <w:rPr>
          <w:rFonts w:ascii="华文中宋" w:eastAsia="华文中宋" w:hAnsi="华文中宋" w:cs="华文中宋" w:hint="eastAsia"/>
          <w:sz w:val="32"/>
          <w:szCs w:val="32"/>
        </w:rPr>
        <w:t>年</w:t>
      </w:r>
      <w:r w:rsidR="00150250">
        <w:rPr>
          <w:rFonts w:ascii="华文中宋" w:eastAsia="华文中宋" w:hAnsi="华文中宋" w:cs="华文中宋"/>
          <w:sz w:val="32"/>
          <w:szCs w:val="32"/>
        </w:rPr>
        <w:t>8</w:t>
      </w:r>
      <w:r w:rsidR="00150250" w:rsidRPr="004C1C29">
        <w:rPr>
          <w:rFonts w:ascii="华文中宋" w:eastAsia="华文中宋" w:hAnsi="华文中宋" w:cs="华文中宋" w:hint="eastAsia"/>
          <w:sz w:val="32"/>
          <w:szCs w:val="32"/>
        </w:rPr>
        <w:t>月</w:t>
      </w: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701A1E" w:rsidRDefault="00701A1E" w:rsidP="00964AF3">
      <w:pPr>
        <w:jc w:val="center"/>
        <w:rPr>
          <w:rFonts w:ascii="华文中宋" w:eastAsia="华文中宋" w:hAnsi="华文中宋"/>
          <w:sz w:val="36"/>
          <w:szCs w:val="36"/>
        </w:rPr>
        <w:sectPr w:rsidR="00701A1E" w:rsidSect="00B534AD">
          <w:footerReference w:type="default" r:id="rId9"/>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890497274"/>
        <w:docPartObj>
          <w:docPartGallery w:val="Table of Contents"/>
          <w:docPartUnique/>
        </w:docPartObj>
      </w:sdtPr>
      <w:sdtEndPr/>
      <w:sdtContent>
        <w:p w:rsidR="00E555AD" w:rsidRPr="004F7D60" w:rsidRDefault="00E555AD" w:rsidP="002001E5">
          <w:pPr>
            <w:pStyle w:val="TOC"/>
            <w:tabs>
              <w:tab w:val="left" w:pos="3215"/>
              <w:tab w:val="center" w:pos="4153"/>
            </w:tabs>
            <w:spacing w:line="600" w:lineRule="auto"/>
            <w:rPr>
              <w:color w:val="auto"/>
              <w:sz w:val="44"/>
              <w:szCs w:val="44"/>
            </w:rPr>
          </w:pPr>
          <w:r>
            <w:rPr>
              <w:lang w:val="zh-CN"/>
            </w:rPr>
            <w:tab/>
          </w:r>
          <w:r w:rsidRPr="004F7D60">
            <w:rPr>
              <w:sz w:val="44"/>
              <w:szCs w:val="44"/>
              <w:lang w:val="zh-CN"/>
            </w:rPr>
            <w:tab/>
          </w:r>
          <w:r w:rsidRPr="004F7D60">
            <w:rPr>
              <w:color w:val="auto"/>
              <w:sz w:val="44"/>
              <w:szCs w:val="44"/>
              <w:lang w:val="zh-CN"/>
            </w:rPr>
            <w:t>目</w:t>
          </w:r>
          <w:r>
            <w:rPr>
              <w:rFonts w:hint="eastAsia"/>
              <w:color w:val="auto"/>
              <w:sz w:val="44"/>
              <w:szCs w:val="44"/>
              <w:lang w:val="zh-CN"/>
            </w:rPr>
            <w:t xml:space="preserve"> </w:t>
          </w:r>
          <w:r w:rsidRPr="004F7D60">
            <w:rPr>
              <w:color w:val="auto"/>
              <w:sz w:val="44"/>
              <w:szCs w:val="44"/>
              <w:lang w:val="zh-CN"/>
            </w:rPr>
            <w:t>录</w:t>
          </w:r>
        </w:p>
        <w:p w:rsidR="00E555AD" w:rsidRPr="004F7D60" w:rsidRDefault="00E555AD" w:rsidP="00844DAB">
          <w:pPr>
            <w:pStyle w:val="10"/>
            <w:spacing w:line="600" w:lineRule="auto"/>
          </w:pPr>
        </w:p>
        <w:p w:rsidR="004376D9" w:rsidRDefault="00E555AD">
          <w:pPr>
            <w:pStyle w:val="10"/>
            <w:rPr>
              <w:rFonts w:asciiTheme="minorHAnsi" w:eastAsiaTheme="minorEastAsia" w:hAnsiTheme="minorHAnsi"/>
              <w:sz w:val="21"/>
              <w:szCs w:val="22"/>
            </w:rPr>
          </w:pPr>
          <w:r w:rsidRPr="004F7D60">
            <w:fldChar w:fldCharType="begin"/>
          </w:r>
          <w:r w:rsidRPr="004F7D60">
            <w:instrText xml:space="preserve"> TOC \o "1-3" \h \z \u </w:instrText>
          </w:r>
          <w:r w:rsidRPr="004F7D60">
            <w:fldChar w:fldCharType="separate"/>
          </w:r>
          <w:bookmarkStart w:id="0" w:name="_GoBack"/>
          <w:bookmarkEnd w:id="0"/>
          <w:r w:rsidR="004376D9" w:rsidRPr="00EA7FB4">
            <w:rPr>
              <w:rStyle w:val="a7"/>
            </w:rPr>
            <w:fldChar w:fldCharType="begin"/>
          </w:r>
          <w:r w:rsidR="004376D9" w:rsidRPr="00EA7FB4">
            <w:rPr>
              <w:rStyle w:val="a7"/>
            </w:rPr>
            <w:instrText xml:space="preserve"> </w:instrText>
          </w:r>
          <w:r w:rsidR="004376D9">
            <w:instrText>HYPERLINK \l "_Toc520369774"</w:instrText>
          </w:r>
          <w:r w:rsidR="004376D9" w:rsidRPr="00EA7FB4">
            <w:rPr>
              <w:rStyle w:val="a7"/>
            </w:rPr>
            <w:instrText xml:space="preserve"> </w:instrText>
          </w:r>
          <w:r w:rsidR="004376D9" w:rsidRPr="00EA7FB4">
            <w:rPr>
              <w:rStyle w:val="a7"/>
            </w:rPr>
          </w:r>
          <w:r w:rsidR="004376D9" w:rsidRPr="00EA7FB4">
            <w:rPr>
              <w:rStyle w:val="a7"/>
            </w:rPr>
            <w:fldChar w:fldCharType="separate"/>
          </w:r>
          <w:r w:rsidR="004376D9" w:rsidRPr="00EA7FB4">
            <w:rPr>
              <w:rStyle w:val="a7"/>
              <w:rFonts w:ascii="Times New Roman" w:cs="Times New Roman" w:hint="eastAsia"/>
            </w:rPr>
            <w:t>一、学校概况</w:t>
          </w:r>
          <w:r w:rsidR="004376D9">
            <w:rPr>
              <w:webHidden/>
            </w:rPr>
            <w:tab/>
          </w:r>
          <w:r w:rsidR="004376D9">
            <w:rPr>
              <w:webHidden/>
            </w:rPr>
            <w:fldChar w:fldCharType="begin"/>
          </w:r>
          <w:r w:rsidR="004376D9">
            <w:rPr>
              <w:webHidden/>
            </w:rPr>
            <w:instrText xml:space="preserve"> PAGEREF _Toc520369774 \h </w:instrText>
          </w:r>
          <w:r w:rsidR="004376D9">
            <w:rPr>
              <w:webHidden/>
            </w:rPr>
          </w:r>
          <w:r w:rsidR="004376D9">
            <w:rPr>
              <w:webHidden/>
            </w:rPr>
            <w:fldChar w:fldCharType="separate"/>
          </w:r>
          <w:r w:rsidR="004376D9">
            <w:rPr>
              <w:webHidden/>
            </w:rPr>
            <w:t>1</w:t>
          </w:r>
          <w:r w:rsidR="004376D9">
            <w:rPr>
              <w:webHidden/>
            </w:rPr>
            <w:fldChar w:fldCharType="end"/>
          </w:r>
          <w:r w:rsidR="004376D9" w:rsidRPr="00EA7FB4">
            <w:rPr>
              <w:rStyle w:val="a7"/>
            </w:rPr>
            <w:fldChar w:fldCharType="end"/>
          </w:r>
        </w:p>
        <w:p w:rsidR="004376D9" w:rsidRDefault="004376D9">
          <w:pPr>
            <w:pStyle w:val="20"/>
            <w:rPr>
              <w:rFonts w:asciiTheme="minorHAnsi" w:eastAsiaTheme="minorEastAsia" w:hAnsiTheme="minorHAnsi"/>
              <w:sz w:val="21"/>
              <w:szCs w:val="22"/>
            </w:rPr>
          </w:pPr>
          <w:hyperlink w:anchor="_Toc520369775" w:history="1">
            <w:r w:rsidRPr="00EA7FB4">
              <w:rPr>
                <w:rStyle w:val="a7"/>
                <w:rFonts w:ascii="Times New Roman" w:cs="Times New Roman" w:hint="eastAsia"/>
              </w:rPr>
              <w:t>（一）学校基本情况</w:t>
            </w:r>
            <w:r>
              <w:rPr>
                <w:webHidden/>
              </w:rPr>
              <w:tab/>
            </w:r>
            <w:r>
              <w:rPr>
                <w:webHidden/>
              </w:rPr>
              <w:fldChar w:fldCharType="begin"/>
            </w:r>
            <w:r>
              <w:rPr>
                <w:webHidden/>
              </w:rPr>
              <w:instrText xml:space="preserve"> PAGEREF _Toc520369775 \h </w:instrText>
            </w:r>
            <w:r>
              <w:rPr>
                <w:webHidden/>
              </w:rPr>
            </w:r>
            <w:r>
              <w:rPr>
                <w:webHidden/>
              </w:rPr>
              <w:fldChar w:fldCharType="separate"/>
            </w:r>
            <w:r>
              <w:rPr>
                <w:webHidden/>
              </w:rPr>
              <w:t>1</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76" w:history="1">
            <w:r w:rsidRPr="00EA7FB4">
              <w:rPr>
                <w:rStyle w:val="a7"/>
                <w:rFonts w:ascii="Times New Roman" w:cs="Times New Roman" w:hint="eastAsia"/>
              </w:rPr>
              <w:t>（二）部门决算单位构成</w:t>
            </w:r>
            <w:r>
              <w:rPr>
                <w:webHidden/>
              </w:rPr>
              <w:tab/>
            </w:r>
            <w:r>
              <w:rPr>
                <w:webHidden/>
              </w:rPr>
              <w:fldChar w:fldCharType="begin"/>
            </w:r>
            <w:r>
              <w:rPr>
                <w:webHidden/>
              </w:rPr>
              <w:instrText xml:space="preserve"> PAGEREF _Toc520369776 \h </w:instrText>
            </w:r>
            <w:r>
              <w:rPr>
                <w:webHidden/>
              </w:rPr>
            </w:r>
            <w:r>
              <w:rPr>
                <w:webHidden/>
              </w:rPr>
              <w:fldChar w:fldCharType="separate"/>
            </w:r>
            <w:r>
              <w:rPr>
                <w:webHidden/>
              </w:rPr>
              <w:t>5</w:t>
            </w:r>
            <w:r>
              <w:rPr>
                <w:webHidden/>
              </w:rPr>
              <w:fldChar w:fldCharType="end"/>
            </w:r>
          </w:hyperlink>
        </w:p>
        <w:p w:rsidR="004376D9" w:rsidRDefault="004376D9">
          <w:pPr>
            <w:pStyle w:val="10"/>
            <w:rPr>
              <w:rFonts w:asciiTheme="minorHAnsi" w:eastAsiaTheme="minorEastAsia" w:hAnsiTheme="minorHAnsi"/>
              <w:sz w:val="21"/>
              <w:szCs w:val="22"/>
            </w:rPr>
          </w:pPr>
          <w:hyperlink w:anchor="_Toc520369777" w:history="1">
            <w:r w:rsidRPr="00EA7FB4">
              <w:rPr>
                <w:rStyle w:val="a7"/>
                <w:rFonts w:ascii="Times New Roman" w:cs="Times New Roman" w:hint="eastAsia"/>
              </w:rPr>
              <w:t>二、</w:t>
            </w:r>
            <w:r w:rsidRPr="00EA7FB4">
              <w:rPr>
                <w:rStyle w:val="a7"/>
                <w:rFonts w:ascii="Times New Roman" w:cs="Times New Roman"/>
              </w:rPr>
              <w:t>2017</w:t>
            </w:r>
            <w:r w:rsidRPr="00EA7FB4">
              <w:rPr>
                <w:rStyle w:val="a7"/>
                <w:rFonts w:ascii="Times New Roman" w:cs="Times New Roman" w:hint="eastAsia"/>
              </w:rPr>
              <w:t>年部门决算报表</w:t>
            </w:r>
            <w:r>
              <w:rPr>
                <w:webHidden/>
              </w:rPr>
              <w:tab/>
            </w:r>
            <w:r>
              <w:rPr>
                <w:webHidden/>
              </w:rPr>
              <w:fldChar w:fldCharType="begin"/>
            </w:r>
            <w:r>
              <w:rPr>
                <w:webHidden/>
              </w:rPr>
              <w:instrText xml:space="preserve"> PAGEREF _Toc520369777 \h </w:instrText>
            </w:r>
            <w:r>
              <w:rPr>
                <w:webHidden/>
              </w:rPr>
            </w:r>
            <w:r>
              <w:rPr>
                <w:webHidden/>
              </w:rPr>
              <w:fldChar w:fldCharType="separate"/>
            </w:r>
            <w:r>
              <w:rPr>
                <w:webHidden/>
              </w:rPr>
              <w:t>6</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78" w:history="1">
            <w:r w:rsidRPr="00EA7FB4">
              <w:rPr>
                <w:rStyle w:val="a7"/>
                <w:rFonts w:hint="eastAsia"/>
              </w:rPr>
              <w:t>表</w:t>
            </w:r>
            <w:r w:rsidRPr="00EA7FB4">
              <w:rPr>
                <w:rStyle w:val="a7"/>
              </w:rPr>
              <w:t>1</w:t>
            </w:r>
            <w:r w:rsidRPr="00EA7FB4">
              <w:rPr>
                <w:rStyle w:val="a7"/>
                <w:rFonts w:hint="eastAsia"/>
              </w:rPr>
              <w:t>：高等学校收支决算总表</w:t>
            </w:r>
            <w:r>
              <w:rPr>
                <w:webHidden/>
              </w:rPr>
              <w:tab/>
            </w:r>
            <w:r>
              <w:rPr>
                <w:webHidden/>
              </w:rPr>
              <w:fldChar w:fldCharType="begin"/>
            </w:r>
            <w:r>
              <w:rPr>
                <w:webHidden/>
              </w:rPr>
              <w:instrText xml:space="preserve"> PAGEREF _Toc520369778 \h </w:instrText>
            </w:r>
            <w:r>
              <w:rPr>
                <w:webHidden/>
              </w:rPr>
            </w:r>
            <w:r>
              <w:rPr>
                <w:webHidden/>
              </w:rPr>
              <w:fldChar w:fldCharType="separate"/>
            </w:r>
            <w:r>
              <w:rPr>
                <w:webHidden/>
              </w:rPr>
              <w:t>6</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79" w:history="1">
            <w:r w:rsidRPr="00EA7FB4">
              <w:rPr>
                <w:rStyle w:val="a7"/>
                <w:rFonts w:hint="eastAsia"/>
              </w:rPr>
              <w:t>表</w:t>
            </w:r>
            <w:r w:rsidRPr="00EA7FB4">
              <w:rPr>
                <w:rStyle w:val="a7"/>
              </w:rPr>
              <w:t>2</w:t>
            </w:r>
            <w:r w:rsidRPr="00EA7FB4">
              <w:rPr>
                <w:rStyle w:val="a7"/>
                <w:rFonts w:hint="eastAsia"/>
              </w:rPr>
              <w:t>：高等学校收入决算表</w:t>
            </w:r>
            <w:r>
              <w:rPr>
                <w:webHidden/>
              </w:rPr>
              <w:tab/>
            </w:r>
            <w:r>
              <w:rPr>
                <w:webHidden/>
              </w:rPr>
              <w:fldChar w:fldCharType="begin"/>
            </w:r>
            <w:r>
              <w:rPr>
                <w:webHidden/>
              </w:rPr>
              <w:instrText xml:space="preserve"> PAGEREF _Toc520369779 \h </w:instrText>
            </w:r>
            <w:r>
              <w:rPr>
                <w:webHidden/>
              </w:rPr>
            </w:r>
            <w:r>
              <w:rPr>
                <w:webHidden/>
              </w:rPr>
              <w:fldChar w:fldCharType="separate"/>
            </w:r>
            <w:r>
              <w:rPr>
                <w:webHidden/>
              </w:rPr>
              <w:t>8</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0" w:history="1">
            <w:r w:rsidRPr="00EA7FB4">
              <w:rPr>
                <w:rStyle w:val="a7"/>
                <w:rFonts w:hint="eastAsia"/>
              </w:rPr>
              <w:t>表</w:t>
            </w:r>
            <w:r w:rsidRPr="00EA7FB4">
              <w:rPr>
                <w:rStyle w:val="a7"/>
              </w:rPr>
              <w:t>3</w:t>
            </w:r>
            <w:r w:rsidRPr="00EA7FB4">
              <w:rPr>
                <w:rStyle w:val="a7"/>
                <w:rFonts w:hint="eastAsia"/>
              </w:rPr>
              <w:t>：高等学校支出决算表</w:t>
            </w:r>
            <w:r>
              <w:rPr>
                <w:webHidden/>
              </w:rPr>
              <w:tab/>
            </w:r>
            <w:r>
              <w:rPr>
                <w:webHidden/>
              </w:rPr>
              <w:fldChar w:fldCharType="begin"/>
            </w:r>
            <w:r>
              <w:rPr>
                <w:webHidden/>
              </w:rPr>
              <w:instrText xml:space="preserve"> PAGEREF _Toc520369780 \h </w:instrText>
            </w:r>
            <w:r>
              <w:rPr>
                <w:webHidden/>
              </w:rPr>
            </w:r>
            <w:r>
              <w:rPr>
                <w:webHidden/>
              </w:rPr>
              <w:fldChar w:fldCharType="separate"/>
            </w:r>
            <w:r>
              <w:rPr>
                <w:webHidden/>
              </w:rPr>
              <w:t>9</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1" w:history="1">
            <w:r w:rsidRPr="00EA7FB4">
              <w:rPr>
                <w:rStyle w:val="a7"/>
                <w:rFonts w:hint="eastAsia"/>
              </w:rPr>
              <w:t>表</w:t>
            </w:r>
            <w:r w:rsidRPr="00EA7FB4">
              <w:rPr>
                <w:rStyle w:val="a7"/>
              </w:rPr>
              <w:t>4</w:t>
            </w:r>
            <w:r w:rsidRPr="00EA7FB4">
              <w:rPr>
                <w:rStyle w:val="a7"/>
                <w:rFonts w:hint="eastAsia"/>
              </w:rPr>
              <w:t>：高等学校财政拨款支出决算表</w:t>
            </w:r>
            <w:r>
              <w:rPr>
                <w:webHidden/>
              </w:rPr>
              <w:tab/>
            </w:r>
            <w:r>
              <w:rPr>
                <w:webHidden/>
              </w:rPr>
              <w:fldChar w:fldCharType="begin"/>
            </w:r>
            <w:r>
              <w:rPr>
                <w:webHidden/>
              </w:rPr>
              <w:instrText xml:space="preserve"> PAGEREF _Toc520369781 \h </w:instrText>
            </w:r>
            <w:r>
              <w:rPr>
                <w:webHidden/>
              </w:rPr>
            </w:r>
            <w:r>
              <w:rPr>
                <w:webHidden/>
              </w:rPr>
              <w:fldChar w:fldCharType="separate"/>
            </w:r>
            <w:r>
              <w:rPr>
                <w:webHidden/>
              </w:rPr>
              <w:t>10</w:t>
            </w:r>
            <w:r>
              <w:rPr>
                <w:webHidden/>
              </w:rPr>
              <w:fldChar w:fldCharType="end"/>
            </w:r>
          </w:hyperlink>
        </w:p>
        <w:p w:rsidR="004376D9" w:rsidRDefault="004376D9">
          <w:pPr>
            <w:pStyle w:val="10"/>
            <w:rPr>
              <w:rFonts w:asciiTheme="minorHAnsi" w:eastAsiaTheme="minorEastAsia" w:hAnsiTheme="minorHAnsi"/>
              <w:sz w:val="21"/>
              <w:szCs w:val="22"/>
            </w:rPr>
          </w:pPr>
          <w:hyperlink w:anchor="_Toc520369782" w:history="1">
            <w:r w:rsidRPr="00EA7FB4">
              <w:rPr>
                <w:rStyle w:val="a7"/>
                <w:rFonts w:ascii="Times New Roman" w:cs="Times New Roman" w:hint="eastAsia"/>
              </w:rPr>
              <w:t>三、决算报表说明</w:t>
            </w:r>
            <w:r>
              <w:rPr>
                <w:webHidden/>
              </w:rPr>
              <w:tab/>
            </w:r>
            <w:r>
              <w:rPr>
                <w:webHidden/>
              </w:rPr>
              <w:fldChar w:fldCharType="begin"/>
            </w:r>
            <w:r>
              <w:rPr>
                <w:webHidden/>
              </w:rPr>
              <w:instrText xml:space="preserve"> PAGEREF _Toc520369782 \h </w:instrText>
            </w:r>
            <w:r>
              <w:rPr>
                <w:webHidden/>
              </w:rPr>
            </w:r>
            <w:r>
              <w:rPr>
                <w:webHidden/>
              </w:rPr>
              <w:fldChar w:fldCharType="separate"/>
            </w:r>
            <w:r>
              <w:rPr>
                <w:webHidden/>
              </w:rPr>
              <w:t>12</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3" w:history="1">
            <w:r w:rsidRPr="00EA7FB4">
              <w:rPr>
                <w:rStyle w:val="a7"/>
                <w:rFonts w:ascii="Times New Roman" w:cs="Times New Roman" w:hint="eastAsia"/>
              </w:rPr>
              <w:t>（一）高等学校收支决算总表说明</w:t>
            </w:r>
            <w:r>
              <w:rPr>
                <w:webHidden/>
              </w:rPr>
              <w:tab/>
            </w:r>
            <w:r>
              <w:rPr>
                <w:webHidden/>
              </w:rPr>
              <w:fldChar w:fldCharType="begin"/>
            </w:r>
            <w:r>
              <w:rPr>
                <w:webHidden/>
              </w:rPr>
              <w:instrText xml:space="preserve"> PAGEREF _Toc520369783 \h </w:instrText>
            </w:r>
            <w:r>
              <w:rPr>
                <w:webHidden/>
              </w:rPr>
            </w:r>
            <w:r>
              <w:rPr>
                <w:webHidden/>
              </w:rPr>
              <w:fldChar w:fldCharType="separate"/>
            </w:r>
            <w:r>
              <w:rPr>
                <w:webHidden/>
              </w:rPr>
              <w:t>12</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4" w:history="1">
            <w:r w:rsidRPr="00EA7FB4">
              <w:rPr>
                <w:rStyle w:val="a7"/>
                <w:rFonts w:ascii="Times New Roman" w:cs="Times New Roman" w:hint="eastAsia"/>
              </w:rPr>
              <w:t>（二）高等学校收入决算表说明</w:t>
            </w:r>
            <w:r>
              <w:rPr>
                <w:webHidden/>
              </w:rPr>
              <w:tab/>
            </w:r>
            <w:r>
              <w:rPr>
                <w:webHidden/>
              </w:rPr>
              <w:fldChar w:fldCharType="begin"/>
            </w:r>
            <w:r>
              <w:rPr>
                <w:webHidden/>
              </w:rPr>
              <w:instrText xml:space="preserve"> PAGEREF _Toc520369784 \h </w:instrText>
            </w:r>
            <w:r>
              <w:rPr>
                <w:webHidden/>
              </w:rPr>
            </w:r>
            <w:r>
              <w:rPr>
                <w:webHidden/>
              </w:rPr>
              <w:fldChar w:fldCharType="separate"/>
            </w:r>
            <w:r>
              <w:rPr>
                <w:webHidden/>
              </w:rPr>
              <w:t>13</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5" w:history="1">
            <w:r w:rsidRPr="00EA7FB4">
              <w:rPr>
                <w:rStyle w:val="a7"/>
                <w:rFonts w:ascii="Times New Roman" w:cs="Times New Roman" w:hint="eastAsia"/>
              </w:rPr>
              <w:t>（三）高等学校支出决算表说明</w:t>
            </w:r>
            <w:r>
              <w:rPr>
                <w:webHidden/>
              </w:rPr>
              <w:tab/>
            </w:r>
            <w:r>
              <w:rPr>
                <w:webHidden/>
              </w:rPr>
              <w:fldChar w:fldCharType="begin"/>
            </w:r>
            <w:r>
              <w:rPr>
                <w:webHidden/>
              </w:rPr>
              <w:instrText xml:space="preserve"> PAGEREF _Toc520369785 \h </w:instrText>
            </w:r>
            <w:r>
              <w:rPr>
                <w:webHidden/>
              </w:rPr>
            </w:r>
            <w:r>
              <w:rPr>
                <w:webHidden/>
              </w:rPr>
              <w:fldChar w:fldCharType="separate"/>
            </w:r>
            <w:r>
              <w:rPr>
                <w:webHidden/>
              </w:rPr>
              <w:t>13</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6" w:history="1">
            <w:r w:rsidRPr="00EA7FB4">
              <w:rPr>
                <w:rStyle w:val="a7"/>
                <w:rFonts w:ascii="Times New Roman" w:cs="Times New Roman" w:hint="eastAsia"/>
              </w:rPr>
              <w:t>（四）高等学校财政拨款支出决算表说明</w:t>
            </w:r>
            <w:r>
              <w:rPr>
                <w:webHidden/>
              </w:rPr>
              <w:tab/>
            </w:r>
            <w:r>
              <w:rPr>
                <w:webHidden/>
              </w:rPr>
              <w:fldChar w:fldCharType="begin"/>
            </w:r>
            <w:r>
              <w:rPr>
                <w:webHidden/>
              </w:rPr>
              <w:instrText xml:space="preserve"> PAGEREF _Toc520369786 \h </w:instrText>
            </w:r>
            <w:r>
              <w:rPr>
                <w:webHidden/>
              </w:rPr>
            </w:r>
            <w:r>
              <w:rPr>
                <w:webHidden/>
              </w:rPr>
              <w:fldChar w:fldCharType="separate"/>
            </w:r>
            <w:r>
              <w:rPr>
                <w:webHidden/>
              </w:rPr>
              <w:t>13</w:t>
            </w:r>
            <w:r>
              <w:rPr>
                <w:webHidden/>
              </w:rPr>
              <w:fldChar w:fldCharType="end"/>
            </w:r>
          </w:hyperlink>
        </w:p>
        <w:p w:rsidR="004376D9" w:rsidRDefault="004376D9">
          <w:pPr>
            <w:pStyle w:val="10"/>
            <w:rPr>
              <w:rFonts w:asciiTheme="minorHAnsi" w:eastAsiaTheme="minorEastAsia" w:hAnsiTheme="minorHAnsi"/>
              <w:sz w:val="21"/>
              <w:szCs w:val="22"/>
            </w:rPr>
          </w:pPr>
          <w:hyperlink w:anchor="_Toc520369787" w:history="1">
            <w:r w:rsidRPr="00EA7FB4">
              <w:rPr>
                <w:rStyle w:val="a7"/>
                <w:rFonts w:ascii="Times New Roman" w:cs="Times New Roman" w:hint="eastAsia"/>
              </w:rPr>
              <w:t>四、名词解释</w:t>
            </w:r>
            <w:r>
              <w:rPr>
                <w:webHidden/>
              </w:rPr>
              <w:tab/>
            </w:r>
            <w:r>
              <w:rPr>
                <w:webHidden/>
              </w:rPr>
              <w:fldChar w:fldCharType="begin"/>
            </w:r>
            <w:r>
              <w:rPr>
                <w:webHidden/>
              </w:rPr>
              <w:instrText xml:space="preserve"> PAGEREF _Toc520369787 \h </w:instrText>
            </w:r>
            <w:r>
              <w:rPr>
                <w:webHidden/>
              </w:rPr>
            </w:r>
            <w:r>
              <w:rPr>
                <w:webHidden/>
              </w:rPr>
              <w:fldChar w:fldCharType="separate"/>
            </w:r>
            <w:r>
              <w:rPr>
                <w:webHidden/>
              </w:rPr>
              <w:t>16</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8" w:history="1">
            <w:r w:rsidRPr="00EA7FB4">
              <w:rPr>
                <w:rStyle w:val="a7"/>
                <w:rFonts w:ascii="Times New Roman" w:cs="Times New Roman" w:hint="eastAsia"/>
              </w:rPr>
              <w:t>（一）支出功能分类科目说明</w:t>
            </w:r>
            <w:r>
              <w:rPr>
                <w:webHidden/>
              </w:rPr>
              <w:tab/>
            </w:r>
            <w:r>
              <w:rPr>
                <w:webHidden/>
              </w:rPr>
              <w:fldChar w:fldCharType="begin"/>
            </w:r>
            <w:r>
              <w:rPr>
                <w:webHidden/>
              </w:rPr>
              <w:instrText xml:space="preserve"> PAGEREF _Toc520369788 \h </w:instrText>
            </w:r>
            <w:r>
              <w:rPr>
                <w:webHidden/>
              </w:rPr>
            </w:r>
            <w:r>
              <w:rPr>
                <w:webHidden/>
              </w:rPr>
              <w:fldChar w:fldCharType="separate"/>
            </w:r>
            <w:r>
              <w:rPr>
                <w:webHidden/>
              </w:rPr>
              <w:t>16</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89" w:history="1">
            <w:r w:rsidRPr="00EA7FB4">
              <w:rPr>
                <w:rStyle w:val="a7"/>
                <w:rFonts w:ascii="Times New Roman" w:cs="Times New Roman" w:hint="eastAsia"/>
              </w:rPr>
              <w:t>（二）收入科目</w:t>
            </w:r>
            <w:r>
              <w:rPr>
                <w:webHidden/>
              </w:rPr>
              <w:tab/>
            </w:r>
            <w:r>
              <w:rPr>
                <w:webHidden/>
              </w:rPr>
              <w:fldChar w:fldCharType="begin"/>
            </w:r>
            <w:r>
              <w:rPr>
                <w:webHidden/>
              </w:rPr>
              <w:instrText xml:space="preserve"> PAGEREF _Toc520369789 \h </w:instrText>
            </w:r>
            <w:r>
              <w:rPr>
                <w:webHidden/>
              </w:rPr>
            </w:r>
            <w:r>
              <w:rPr>
                <w:webHidden/>
              </w:rPr>
              <w:fldChar w:fldCharType="separate"/>
            </w:r>
            <w:r>
              <w:rPr>
                <w:webHidden/>
              </w:rPr>
              <w:t>17</w:t>
            </w:r>
            <w:r>
              <w:rPr>
                <w:webHidden/>
              </w:rPr>
              <w:fldChar w:fldCharType="end"/>
            </w:r>
          </w:hyperlink>
        </w:p>
        <w:p w:rsidR="004376D9" w:rsidRDefault="004376D9">
          <w:pPr>
            <w:pStyle w:val="20"/>
            <w:rPr>
              <w:rFonts w:asciiTheme="minorHAnsi" w:eastAsiaTheme="minorEastAsia" w:hAnsiTheme="minorHAnsi"/>
              <w:sz w:val="21"/>
              <w:szCs w:val="22"/>
            </w:rPr>
          </w:pPr>
          <w:hyperlink w:anchor="_Toc520369790" w:history="1">
            <w:r w:rsidRPr="00EA7FB4">
              <w:rPr>
                <w:rStyle w:val="a7"/>
                <w:rFonts w:ascii="Times New Roman" w:cs="Times New Roman" w:hint="eastAsia"/>
              </w:rPr>
              <w:t>（三）支出科目</w:t>
            </w:r>
            <w:r>
              <w:rPr>
                <w:webHidden/>
              </w:rPr>
              <w:tab/>
            </w:r>
            <w:r>
              <w:rPr>
                <w:webHidden/>
              </w:rPr>
              <w:fldChar w:fldCharType="begin"/>
            </w:r>
            <w:r>
              <w:rPr>
                <w:webHidden/>
              </w:rPr>
              <w:instrText xml:space="preserve"> PAGEREF _Toc520369790 \h </w:instrText>
            </w:r>
            <w:r>
              <w:rPr>
                <w:webHidden/>
              </w:rPr>
            </w:r>
            <w:r>
              <w:rPr>
                <w:webHidden/>
              </w:rPr>
              <w:fldChar w:fldCharType="separate"/>
            </w:r>
            <w:r>
              <w:rPr>
                <w:webHidden/>
              </w:rPr>
              <w:t>18</w:t>
            </w:r>
            <w:r>
              <w:rPr>
                <w:webHidden/>
              </w:rPr>
              <w:fldChar w:fldCharType="end"/>
            </w:r>
          </w:hyperlink>
        </w:p>
        <w:p w:rsidR="002743EB" w:rsidRDefault="00E555AD" w:rsidP="002001E5">
          <w:pPr>
            <w:spacing w:line="600" w:lineRule="auto"/>
          </w:pPr>
          <w:r w:rsidRPr="004F7D60">
            <w:rPr>
              <w:b/>
              <w:bCs/>
              <w:sz w:val="32"/>
              <w:szCs w:val="32"/>
              <w:lang w:val="zh-CN"/>
            </w:rPr>
            <w:fldChar w:fldCharType="end"/>
          </w:r>
        </w:p>
      </w:sdtContent>
    </w:sdt>
    <w:p w:rsidR="00701A1E" w:rsidRDefault="00701A1E" w:rsidP="00746E9A">
      <w:pPr>
        <w:pStyle w:val="1"/>
        <w:ind w:firstLineChars="200" w:firstLine="643"/>
        <w:rPr>
          <w:sz w:val="32"/>
          <w:szCs w:val="32"/>
        </w:rPr>
        <w:sectPr w:rsidR="00701A1E" w:rsidSect="00B534AD">
          <w:footerReference w:type="default" r:id="rId10"/>
          <w:pgSz w:w="11906" w:h="16838"/>
          <w:pgMar w:top="1440" w:right="1800" w:bottom="1440" w:left="1800" w:header="851" w:footer="992" w:gutter="0"/>
          <w:cols w:space="425"/>
          <w:docGrid w:type="lines" w:linePitch="312"/>
        </w:sectPr>
      </w:pPr>
    </w:p>
    <w:p w:rsidR="00964AF3" w:rsidRPr="000307A3" w:rsidRDefault="007E1BCF" w:rsidP="000307A3">
      <w:pPr>
        <w:pStyle w:val="1"/>
        <w:ind w:firstLineChars="200" w:firstLine="643"/>
        <w:rPr>
          <w:rFonts w:ascii="Times New Roman" w:eastAsia="黑体" w:hAnsi="Times New Roman" w:cs="Times New Roman"/>
          <w:sz w:val="32"/>
          <w:szCs w:val="32"/>
        </w:rPr>
      </w:pPr>
      <w:bookmarkStart w:id="1" w:name="_Toc520369774"/>
      <w:r w:rsidRPr="000307A3">
        <w:rPr>
          <w:rFonts w:ascii="Times New Roman" w:eastAsia="黑体" w:hAnsi="黑体" w:cs="Times New Roman"/>
          <w:sz w:val="32"/>
          <w:szCs w:val="32"/>
        </w:rPr>
        <w:lastRenderedPageBreak/>
        <w:t>一、</w:t>
      </w:r>
      <w:r w:rsidR="00964AF3" w:rsidRPr="000307A3">
        <w:rPr>
          <w:rFonts w:ascii="Times New Roman" w:eastAsia="黑体" w:hAnsi="黑体" w:cs="Times New Roman"/>
          <w:sz w:val="32"/>
          <w:szCs w:val="32"/>
        </w:rPr>
        <w:t>学校</w:t>
      </w:r>
      <w:r w:rsidRPr="000307A3">
        <w:rPr>
          <w:rFonts w:ascii="Times New Roman" w:eastAsia="黑体" w:hAnsi="黑体" w:cs="Times New Roman"/>
          <w:sz w:val="32"/>
          <w:szCs w:val="32"/>
        </w:rPr>
        <w:t>概况</w:t>
      </w:r>
      <w:bookmarkEnd w:id="1"/>
    </w:p>
    <w:p w:rsidR="007E1BCF" w:rsidRDefault="007E1BCF" w:rsidP="001910F3">
      <w:pPr>
        <w:pStyle w:val="2"/>
        <w:ind w:firstLineChars="200" w:firstLine="641"/>
        <w:rPr>
          <w:rFonts w:ascii="Times New Roman" w:eastAsia="华文楷体" w:hAnsi="华文楷体" w:cs="Times New Roman"/>
        </w:rPr>
      </w:pPr>
      <w:bookmarkStart w:id="2" w:name="_Toc520369775"/>
      <w:r w:rsidRPr="00A901FC">
        <w:rPr>
          <w:rFonts w:ascii="Times New Roman" w:eastAsia="华文楷体" w:hAnsi="华文楷体" w:cs="Times New Roman"/>
        </w:rPr>
        <w:t>（一）学校基本情况</w:t>
      </w:r>
      <w:bookmarkEnd w:id="2"/>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现有海淀区学院路和昌平区府学路两个校区。</w:t>
      </w:r>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的前身是1952年由北京大学、清华大学、燕京大学、辅仁大学四校的法学、政治学、社会学等学科组合而成的北京政法学院，毛泽东同志亲笔题写了校名。1954年，学校迁址至学院路。1960年成为国家确定的全国重点高校。文革中学校停办，1978年复办。1983年，北京政法学院与中央政法干校合并，组建成立中国政法大学，邓小平同志亲笔题写了校名。学校形成一校及本科生院、研究生院、进修生院三院办学格局。1985年，学校开辟昌平校区。进修生院后更名为中央政法管理干部学院单独办学，2000年，复又合并于中国政法大学。</w:t>
      </w:r>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学校在60多年的办学历程中，为国家培养了各类优秀人才20余万人。学校是国家法学教育和法治人才培养的主</w:t>
      </w:r>
      <w:r w:rsidRPr="00E555AD">
        <w:rPr>
          <w:rFonts w:asciiTheme="minorEastAsia" w:hAnsiTheme="minorEastAsia" w:cs="Times New Roman" w:hint="eastAsia"/>
          <w:sz w:val="32"/>
          <w:szCs w:val="32"/>
        </w:rPr>
        <w:lastRenderedPageBreak/>
        <w:t>力军，参与了自建校以来几乎国家的所有立法活动，</w:t>
      </w:r>
      <w:proofErr w:type="gramStart"/>
      <w:r w:rsidRPr="00E555AD">
        <w:rPr>
          <w:rFonts w:asciiTheme="minorEastAsia" w:hAnsiTheme="minorEastAsia" w:cs="Times New Roman" w:hint="eastAsia"/>
          <w:sz w:val="32"/>
          <w:szCs w:val="32"/>
        </w:rPr>
        <w:t>引领着</w:t>
      </w:r>
      <w:proofErr w:type="gramEnd"/>
      <w:r w:rsidRPr="00E555AD">
        <w:rPr>
          <w:rFonts w:asciiTheme="minorEastAsia" w:hAnsiTheme="minorEastAsia" w:cs="Times New Roman" w:hint="eastAsia"/>
          <w:sz w:val="32"/>
          <w:szCs w:val="32"/>
        </w:rPr>
        <w:t>国家法学教育的创新、法学理论的革新和法律思想的更新，代表着国家对外进行法学学术和法治文化交流。同时，学校多学科和跨学科的人才培养模式也为社会输送了一大批人文社会科学高级专门人才，成为国家政治、经济、社会、文化等领域人才培养的生力军。</w:t>
      </w:r>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学校现有全日制在校生16757 人，其中本科生9319人，研究生6633人，留学生805人；教师968人，教学科研岗教师中教授306人，博士生导师201人、硕士生导师613人，有博士或硕士学位的比例达89.25%。</w:t>
      </w:r>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学校现有法学院、民</w:t>
      </w:r>
      <w:proofErr w:type="gramStart"/>
      <w:r w:rsidRPr="00E555AD">
        <w:rPr>
          <w:rFonts w:asciiTheme="minorEastAsia" w:hAnsiTheme="minorEastAsia" w:cs="Times New Roman" w:hint="eastAsia"/>
          <w:sz w:val="32"/>
          <w:szCs w:val="32"/>
        </w:rPr>
        <w:t>商经济</w:t>
      </w:r>
      <w:proofErr w:type="gramEnd"/>
      <w:r w:rsidRPr="00E555AD">
        <w:rPr>
          <w:rFonts w:asciiTheme="minorEastAsia" w:hAnsiTheme="minorEastAsia" w:cs="Times New Roman" w:hint="eastAsia"/>
          <w:sz w:val="32"/>
          <w:szCs w:val="32"/>
        </w:rPr>
        <w:t>法学院、国际法学院、刑事司法学院、政治与公共管理学院、商学院、人文学院、外国语学院、马克思主义学院、社会学院、光明新闻传播学院、中欧法学院、法律硕士学院、国际儒学院、国际教育学院/港澳台教育中心、继续教育学院/网络教育学院、科学技术教学部/法治信息管理学院、体育教学部共18个教学单位。学校积极推进新型智库建设，设立国家治理研究院，作为学校科研发展与智库建设的总平台；设有诉讼法学研究院（教育部人文社会科学重点研究基地）、法律史学研究院（教育部人文社会科学重点研究基地）、证据科学研究院（教育部重点实验室）、法治政府研究院/青少年法制教育研究中心（北京市哲学社会科学研究基地、教育部青少年法制教育研</w:t>
      </w:r>
      <w:r w:rsidRPr="00E555AD">
        <w:rPr>
          <w:rFonts w:asciiTheme="minorEastAsia" w:hAnsiTheme="minorEastAsia" w:cs="Times New Roman" w:hint="eastAsia"/>
          <w:sz w:val="32"/>
          <w:szCs w:val="32"/>
        </w:rPr>
        <w:lastRenderedPageBreak/>
        <w:t>究基地）、人权研究院（国家人权教育与培训基地、国家高端智库建设培育单位）、比较法学研究院、法与经济学研究院、法律古籍整理研究所、法学教育研究与评估中心/高等教育研究所/质量评估中心、全球化与全球问题研究所、公司法与投资保护研究所等11个在编科研机构；设有资本金融研究院、仲裁研究院、互联网金融法律研究院、绿色发展战略研究院、制度学研究院、国家监察研究院、网络法学研究院、法治经济研究院、国家法律援助研究院、国际法治研究院等10个新型研究机构；设有司法文明协同创新中心、国家领土主权与海洋权益协同创新中心、马克思主义与全面依法治国协同创新中心、全球治理与国际法治协同创新中心、知识经济与法治发展协同创新中心、人权建设协同创新中心、法治政府协同创新中心7个协同创新中心。其中，由中国政法大学牵头组建的司法文明协同创新中心是首批经教育部、财政部认定的14个国家“2011计划”协同创新中心之一，学校参与组建的“国家领土主权与海洋权益协同创新中心”成为第二批获得认定的24个国家“2011计划”协同创新中心之一,学校牵头组建的“马克思主义与全面依法治国协同创新中心”获批北京高校中国特色社会主义理论研究协同创新中心之一。</w:t>
      </w:r>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学校设有法学、侦查学、政治学与行政学、行政管理、国际政治、公共事业管理、工商管理、经济学、国际商务、</w:t>
      </w:r>
      <w:r w:rsidRPr="00E555AD">
        <w:rPr>
          <w:rFonts w:asciiTheme="minorEastAsia" w:hAnsiTheme="minorEastAsia" w:cs="Times New Roman" w:hint="eastAsia"/>
          <w:sz w:val="32"/>
          <w:szCs w:val="32"/>
        </w:rPr>
        <w:lastRenderedPageBreak/>
        <w:t>金融工程、哲学、汉语言文学、汉语言、思想政治教育、社会学、社会工作、应用心理学、英语、德语、翻译、新闻学、网络与新媒体、数学与应用数学、信息管理与信息系统（法治信息管理）共24个本科专业，其中法学、政治学与行政学、社会学为国家级特色专业。学校拥有34个博士学位授权点、78个硕士学位授权点、5个专业硕士学位授权点和3个博士后科研流动站。法学、政治学、马克思主义理论为博士学位授权一级学科，哲学、理论经济学、应用经济学、社会学、心理学、外国语言文学、新闻传播学、中国史、工商管理、公共管理为硕士学位授权一级学科，其中，法学为一级学科国家重点学科，政治学为一级学科北京市重点学科。在第四轮学科评估中，学校9个一级学科参评并全部上榜，其中法学进入A+档，并列全国第一，政治学排名全国第八，社会学、哲学、马克思主义理论等学科取得较好成绩。</w:t>
      </w:r>
    </w:p>
    <w:p w:rsidR="00563895"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先后与50个国家和地区的235所知名大学、科研机构和国际组织建立了合作交流关系，每年通过各类合作交流项目派出千余名师生赴境外交流学习，聘请三百余名长短期外国专家来校讲学。2008年建立的中国政法大学中欧法学院是中国政府和欧盟在法学教育领域最大的合作项目。学校从2009年开始全面实施国际化发展战略，不断提升国际化办学水平，学校培养国际型人才的格局已经初步形成。2012年以来，学校先后在英国、罗马尼亚、巴巴多斯建成3所孔</w:t>
      </w:r>
      <w:r w:rsidRPr="00E555AD">
        <w:rPr>
          <w:rFonts w:asciiTheme="minorEastAsia" w:hAnsiTheme="minorEastAsia" w:cs="Times New Roman" w:hint="eastAsia"/>
          <w:sz w:val="32"/>
          <w:szCs w:val="32"/>
        </w:rPr>
        <w:lastRenderedPageBreak/>
        <w:t>子学院。</w:t>
      </w:r>
    </w:p>
    <w:p w:rsidR="00E555AD" w:rsidRPr="00E555AD" w:rsidRDefault="00E555AD" w:rsidP="00E555AD">
      <w:pPr>
        <w:ind w:firstLineChars="200" w:firstLine="640"/>
        <w:rPr>
          <w:rFonts w:asciiTheme="minorEastAsia" w:hAnsiTheme="minorEastAsia" w:cs="Times New Roman"/>
          <w:sz w:val="32"/>
          <w:szCs w:val="32"/>
        </w:rPr>
      </w:pPr>
      <w:r w:rsidRPr="00E555AD">
        <w:rPr>
          <w:rFonts w:asciiTheme="minorEastAsia" w:hAnsiTheme="minorEastAsia" w:cs="Times New Roman" w:hint="eastAsia"/>
          <w:sz w:val="32"/>
          <w:szCs w:val="32"/>
        </w:rPr>
        <w:t>学校的校训是：厚德、明法、格物、致公。</w:t>
      </w:r>
    </w:p>
    <w:p w:rsidR="00F97FEA" w:rsidRPr="00F97FEA" w:rsidRDefault="00E555AD" w:rsidP="00E555AD">
      <w:pPr>
        <w:ind w:firstLineChars="200" w:firstLine="640"/>
        <w:rPr>
          <w:rFonts w:ascii="Times New Roman" w:eastAsia="仿宋_GB2312" w:hAnsi="Times New Roman" w:cs="Times New Roman"/>
          <w:sz w:val="32"/>
          <w:szCs w:val="32"/>
        </w:rPr>
      </w:pPr>
      <w:r w:rsidRPr="00E555AD">
        <w:rPr>
          <w:rFonts w:asciiTheme="minorEastAsia" w:hAnsiTheme="minorEastAsia" w:cs="Times New Roman" w:hint="eastAsia"/>
          <w:sz w:val="32"/>
          <w:szCs w:val="32"/>
        </w:rPr>
        <w:t>学校的办学目标是：遵循国家教育方针和高等教育规律，弘扬传统，与时俱进，努力办成开放式、国际化、多科性、创新型的世界一流</w:t>
      </w:r>
      <w:proofErr w:type="gramStart"/>
      <w:r w:rsidRPr="00E555AD">
        <w:rPr>
          <w:rFonts w:asciiTheme="minorEastAsia" w:hAnsiTheme="minorEastAsia" w:cs="Times New Roman" w:hint="eastAsia"/>
          <w:sz w:val="32"/>
          <w:szCs w:val="32"/>
        </w:rPr>
        <w:t>法科强校</w:t>
      </w:r>
      <w:proofErr w:type="gramEnd"/>
      <w:r w:rsidR="00563895" w:rsidRPr="000307A3">
        <w:rPr>
          <w:rFonts w:asciiTheme="minorEastAsia" w:hAnsiTheme="minorEastAsia" w:cs="Times New Roman" w:hint="eastAsia"/>
          <w:sz w:val="32"/>
          <w:szCs w:val="32"/>
        </w:rPr>
        <w:t>。</w:t>
      </w:r>
    </w:p>
    <w:p w:rsidR="00964AF3" w:rsidRPr="00A901FC" w:rsidRDefault="007E1BCF" w:rsidP="00E555AD">
      <w:pPr>
        <w:pStyle w:val="2"/>
        <w:ind w:firstLineChars="200" w:firstLine="641"/>
        <w:rPr>
          <w:rFonts w:ascii="Times New Roman" w:eastAsia="华文楷体" w:hAnsi="Times New Roman" w:cs="Times New Roman"/>
        </w:rPr>
      </w:pPr>
      <w:bookmarkStart w:id="3" w:name="_Toc520369776"/>
      <w:r w:rsidRPr="00A901FC">
        <w:rPr>
          <w:rFonts w:ascii="Times New Roman" w:eastAsia="华文楷体" w:hAnsi="华文楷体" w:cs="Times New Roman"/>
        </w:rPr>
        <w:t>（二）部门决</w:t>
      </w:r>
      <w:r w:rsidR="00964AF3" w:rsidRPr="00A901FC">
        <w:rPr>
          <w:rFonts w:ascii="Times New Roman" w:eastAsia="华文楷体" w:hAnsi="华文楷体" w:cs="Times New Roman"/>
        </w:rPr>
        <w:t>算单位构成</w:t>
      </w:r>
      <w:bookmarkEnd w:id="3"/>
    </w:p>
    <w:p w:rsidR="00964AF3" w:rsidRPr="000307A3" w:rsidRDefault="007E1BCF" w:rsidP="007E1BCF">
      <w:pPr>
        <w:jc w:val="left"/>
        <w:rPr>
          <w:rFonts w:asciiTheme="minorEastAsia" w:hAnsiTheme="minorEastAsia" w:cs="Times New Roman"/>
          <w:sz w:val="32"/>
          <w:szCs w:val="32"/>
        </w:rPr>
      </w:pPr>
      <w:r w:rsidRPr="00A901FC">
        <w:rPr>
          <w:rFonts w:ascii="Times New Roman" w:eastAsia="仿宋_GB2312" w:hAnsi="Times New Roman" w:cs="Times New Roman"/>
          <w:sz w:val="32"/>
          <w:szCs w:val="32"/>
        </w:rPr>
        <w:t xml:space="preserve">  </w:t>
      </w:r>
      <w:r w:rsidRPr="000307A3">
        <w:rPr>
          <w:rFonts w:asciiTheme="minorEastAsia" w:hAnsiTheme="minorEastAsia" w:cs="Times New Roman"/>
          <w:sz w:val="32"/>
          <w:szCs w:val="32"/>
        </w:rPr>
        <w:t xml:space="preserve">  </w:t>
      </w:r>
      <w:r w:rsidR="00150250" w:rsidRPr="000307A3">
        <w:rPr>
          <w:rFonts w:asciiTheme="minorEastAsia" w:hAnsiTheme="minorEastAsia" w:cs="仿宋_GB2312" w:hint="eastAsia"/>
          <w:sz w:val="32"/>
          <w:szCs w:val="32"/>
        </w:rPr>
        <w:t>学校部门决算反映中国政法大学本级的经费收支情况。</w:t>
      </w:r>
    </w:p>
    <w:p w:rsidR="00AE7BD1" w:rsidRPr="000307A3" w:rsidRDefault="00AE7BD1" w:rsidP="00A905BF">
      <w:pPr>
        <w:ind w:firstLineChars="200" w:firstLine="640"/>
        <w:jc w:val="left"/>
        <w:outlineLvl w:val="0"/>
        <w:rPr>
          <w:rFonts w:asciiTheme="minorEastAsia" w:hAnsiTheme="minorEastAsia"/>
          <w:sz w:val="32"/>
          <w:szCs w:val="32"/>
        </w:rPr>
        <w:sectPr w:rsidR="00AE7BD1" w:rsidRPr="000307A3" w:rsidSect="00701A1E">
          <w:footerReference w:type="default" r:id="rId11"/>
          <w:pgSz w:w="11906" w:h="16838"/>
          <w:pgMar w:top="1440" w:right="1800" w:bottom="1440" w:left="1800" w:header="851" w:footer="992" w:gutter="0"/>
          <w:pgNumType w:start="1"/>
          <w:cols w:space="425"/>
          <w:docGrid w:type="lines" w:linePitch="312"/>
        </w:sectPr>
      </w:pPr>
    </w:p>
    <w:tbl>
      <w:tblPr>
        <w:tblW w:w="5588" w:type="pct"/>
        <w:jc w:val="center"/>
        <w:tblInd w:w="-11" w:type="dxa"/>
        <w:tblLook w:val="04A0" w:firstRow="1" w:lastRow="0" w:firstColumn="1" w:lastColumn="0" w:noHBand="0" w:noVBand="1"/>
      </w:tblPr>
      <w:tblGrid>
        <w:gridCol w:w="105"/>
        <w:gridCol w:w="5506"/>
        <w:gridCol w:w="108"/>
        <w:gridCol w:w="1784"/>
        <w:gridCol w:w="418"/>
        <w:gridCol w:w="4115"/>
        <w:gridCol w:w="1495"/>
        <w:gridCol w:w="276"/>
        <w:gridCol w:w="2034"/>
      </w:tblGrid>
      <w:tr w:rsidR="00A103EE" w:rsidRPr="00A103EE" w:rsidTr="00176CAA">
        <w:trPr>
          <w:trHeight w:val="520"/>
          <w:jc w:val="center"/>
        </w:trPr>
        <w:tc>
          <w:tcPr>
            <w:tcW w:w="1771" w:type="pct"/>
            <w:gridSpan w:val="2"/>
            <w:tcBorders>
              <w:top w:val="nil"/>
              <w:left w:val="nil"/>
              <w:bottom w:val="nil"/>
              <w:right w:val="nil"/>
            </w:tcBorders>
            <w:shd w:val="clear" w:color="auto" w:fill="auto"/>
            <w:noWrap/>
            <w:vAlign w:val="center"/>
            <w:hideMark/>
          </w:tcPr>
          <w:p w:rsidR="00A103EE" w:rsidRPr="00A103EE" w:rsidRDefault="00A103EE" w:rsidP="000307A3">
            <w:pPr>
              <w:pStyle w:val="1"/>
              <w:ind w:firstLineChars="200" w:firstLine="643"/>
              <w:rPr>
                <w:rFonts w:ascii="宋体" w:eastAsia="宋体" w:hAnsi="宋体" w:cs="Arial"/>
                <w:color w:val="000000"/>
                <w:kern w:val="0"/>
                <w:sz w:val="32"/>
                <w:szCs w:val="32"/>
              </w:rPr>
            </w:pPr>
            <w:r>
              <w:rPr>
                <w:rFonts w:ascii="黑体" w:eastAsia="黑体" w:hAnsi="黑体"/>
                <w:sz w:val="32"/>
                <w:szCs w:val="32"/>
              </w:rPr>
              <w:lastRenderedPageBreak/>
              <w:br w:type="page"/>
            </w:r>
            <w:bookmarkStart w:id="4" w:name="_Toc520369777"/>
            <w:r w:rsidR="00150250" w:rsidRPr="00A901FC">
              <w:rPr>
                <w:rFonts w:ascii="Times New Roman" w:eastAsia="黑体" w:hAnsi="黑体" w:cs="Times New Roman"/>
                <w:sz w:val="32"/>
                <w:szCs w:val="32"/>
              </w:rPr>
              <w:t>二、</w:t>
            </w:r>
            <w:r w:rsidR="00E555AD">
              <w:rPr>
                <w:rFonts w:ascii="Times New Roman" w:eastAsia="黑体" w:hAnsi="黑体" w:cs="Times New Roman" w:hint="eastAsia"/>
                <w:sz w:val="32"/>
                <w:szCs w:val="32"/>
              </w:rPr>
              <w:t>2017</w:t>
            </w:r>
            <w:r w:rsidR="00150250" w:rsidRPr="00A901FC">
              <w:rPr>
                <w:rFonts w:ascii="Times New Roman" w:eastAsia="黑体" w:hAnsi="黑体" w:cs="Times New Roman"/>
                <w:sz w:val="32"/>
                <w:szCs w:val="32"/>
              </w:rPr>
              <w:t>年部门决算报表</w:t>
            </w:r>
            <w:bookmarkEnd w:id="4"/>
          </w:p>
        </w:tc>
        <w:tc>
          <w:tcPr>
            <w:tcW w:w="729" w:type="pct"/>
            <w:gridSpan w:val="3"/>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771" w:type="pct"/>
            <w:gridSpan w:val="2"/>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729" w:type="pct"/>
            <w:gridSpan w:val="2"/>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A103EE" w:rsidTr="00176CAA">
        <w:trPr>
          <w:trHeight w:val="416"/>
          <w:jc w:val="center"/>
        </w:trPr>
        <w:tc>
          <w:tcPr>
            <w:tcW w:w="5000" w:type="pct"/>
            <w:gridSpan w:val="9"/>
            <w:tcBorders>
              <w:top w:val="nil"/>
              <w:left w:val="nil"/>
              <w:bottom w:val="nil"/>
              <w:right w:val="nil"/>
            </w:tcBorders>
            <w:shd w:val="clear" w:color="auto" w:fill="auto"/>
            <w:noWrap/>
            <w:vAlign w:val="center"/>
            <w:hideMark/>
          </w:tcPr>
          <w:p w:rsidR="005B574C" w:rsidRDefault="005B574C" w:rsidP="005B574C">
            <w:pPr>
              <w:pStyle w:val="2"/>
              <w:jc w:val="center"/>
            </w:pPr>
            <w:r>
              <w:rPr>
                <w:rFonts w:asciiTheme="minorHAnsi" w:eastAsiaTheme="minorEastAsia" w:hAnsiTheme="minorHAnsi" w:cstheme="minorBidi"/>
                <w:b w:val="0"/>
                <w:bCs w:val="0"/>
                <w:sz w:val="21"/>
                <w:szCs w:val="22"/>
              </w:rPr>
              <w:br w:type="page"/>
            </w:r>
            <w:r>
              <w:rPr>
                <w:b w:val="0"/>
                <w:bCs w:val="0"/>
              </w:rPr>
              <w:br w:type="page"/>
            </w:r>
            <w:bookmarkStart w:id="5" w:name="_Toc520369778"/>
            <w:r w:rsidR="00A103EE" w:rsidRPr="00A103EE">
              <w:rPr>
                <w:rFonts w:hint="eastAsia"/>
              </w:rPr>
              <w:t>表</w:t>
            </w:r>
            <w:r w:rsidR="00A103EE" w:rsidRPr="00A103EE">
              <w:rPr>
                <w:rFonts w:hint="eastAsia"/>
              </w:rPr>
              <w:t>1</w:t>
            </w:r>
            <w:r w:rsidR="00A103EE" w:rsidRPr="00A103EE">
              <w:rPr>
                <w:rFonts w:hint="eastAsia"/>
              </w:rPr>
              <w:t>：高等学校收支决算总表</w:t>
            </w:r>
            <w:bookmarkEnd w:id="5"/>
          </w:p>
          <w:p w:rsidR="005B574C" w:rsidRPr="005B574C" w:rsidRDefault="00176CAA" w:rsidP="00176CAA">
            <w:pPr>
              <w:ind w:firstLineChars="350" w:firstLine="840"/>
              <w:rPr>
                <w:sz w:val="24"/>
                <w:szCs w:val="24"/>
              </w:rPr>
            </w:pPr>
            <w:r>
              <w:rPr>
                <w:rFonts w:hint="eastAsia"/>
                <w:sz w:val="24"/>
                <w:szCs w:val="24"/>
              </w:rPr>
              <w:t>部门</w:t>
            </w:r>
            <w:r w:rsidR="005B574C">
              <w:rPr>
                <w:rFonts w:hint="eastAsia"/>
                <w:sz w:val="24"/>
                <w:szCs w:val="24"/>
              </w:rPr>
              <w:t>：中国政法大学</w:t>
            </w:r>
            <w:r w:rsidR="005B574C">
              <w:rPr>
                <w:rFonts w:hint="eastAsia"/>
                <w:sz w:val="24"/>
                <w:szCs w:val="24"/>
              </w:rPr>
              <w:t xml:space="preserve">                                                                            </w:t>
            </w:r>
            <w:r w:rsidR="005B574C">
              <w:rPr>
                <w:rFonts w:hint="eastAsia"/>
                <w:sz w:val="24"/>
                <w:szCs w:val="24"/>
              </w:rPr>
              <w:t>金额单位：万元</w:t>
            </w:r>
          </w:p>
        </w:tc>
      </w:tr>
      <w:tr w:rsidR="00176CAA" w:rsidRPr="00176CAA" w:rsidTr="00176CAA">
        <w:tblPrEx>
          <w:jc w:val="left"/>
        </w:tblPrEx>
        <w:trPr>
          <w:gridBefore w:val="1"/>
          <w:gridAfter w:val="1"/>
          <w:wBefore w:w="33" w:type="pct"/>
          <w:wAfter w:w="642" w:type="pct"/>
          <w:trHeight w:val="283"/>
        </w:trPr>
        <w:tc>
          <w:tcPr>
            <w:tcW w:w="23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收入</w:t>
            </w:r>
          </w:p>
        </w:tc>
        <w:tc>
          <w:tcPr>
            <w:tcW w:w="1990" w:type="pct"/>
            <w:gridSpan w:val="4"/>
            <w:tcBorders>
              <w:top w:val="single" w:sz="4" w:space="0" w:color="auto"/>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支出</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项目</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决算数</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项目(按功能分类)</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决算数</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栏次</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1</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栏次</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2</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一、财政拨款收入</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69,350.69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一、一般公共服务支出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50.22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其中：政府性基金预算财政拨款</w:t>
            </w:r>
          </w:p>
        </w:tc>
        <w:tc>
          <w:tcPr>
            <w:tcW w:w="563" w:type="pct"/>
            <w:tcBorders>
              <w:top w:val="nil"/>
              <w:left w:val="nil"/>
              <w:bottom w:val="single" w:sz="4" w:space="0" w:color="auto"/>
              <w:right w:val="single" w:sz="4" w:space="0" w:color="auto"/>
            </w:tcBorders>
            <w:shd w:val="clear" w:color="auto" w:fill="auto"/>
            <w:noWrap/>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0.00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二、外交支出</w:t>
            </w:r>
          </w:p>
        </w:tc>
        <w:tc>
          <w:tcPr>
            <w:tcW w:w="559" w:type="pct"/>
            <w:gridSpan w:val="2"/>
            <w:tcBorders>
              <w:top w:val="nil"/>
              <w:left w:val="nil"/>
              <w:bottom w:val="single" w:sz="4" w:space="0" w:color="auto"/>
              <w:right w:val="single" w:sz="4" w:space="0" w:color="auto"/>
            </w:tcBorders>
            <w:shd w:val="clear" w:color="auto" w:fill="auto"/>
            <w:noWrap/>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二、上级补助收入</w:t>
            </w:r>
          </w:p>
        </w:tc>
        <w:tc>
          <w:tcPr>
            <w:tcW w:w="563" w:type="pct"/>
            <w:tcBorders>
              <w:top w:val="nil"/>
              <w:left w:val="nil"/>
              <w:bottom w:val="single" w:sz="4" w:space="0" w:color="auto"/>
              <w:right w:val="single" w:sz="4" w:space="0" w:color="auto"/>
            </w:tcBorders>
            <w:shd w:val="clear" w:color="auto" w:fill="auto"/>
            <w:noWrap/>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0.00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三、国防支出</w:t>
            </w:r>
          </w:p>
        </w:tc>
        <w:tc>
          <w:tcPr>
            <w:tcW w:w="559" w:type="pct"/>
            <w:gridSpan w:val="2"/>
            <w:tcBorders>
              <w:top w:val="nil"/>
              <w:left w:val="nil"/>
              <w:bottom w:val="single" w:sz="4" w:space="0" w:color="auto"/>
              <w:right w:val="single" w:sz="4" w:space="0" w:color="auto"/>
            </w:tcBorders>
            <w:shd w:val="clear" w:color="auto" w:fill="auto"/>
            <w:noWrap/>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三、事业收入</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40,372.28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四、公共安全支出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四、经营收入</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769.68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五、教育支出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115,457.21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五、附属单位上缴收入</w:t>
            </w:r>
          </w:p>
        </w:tc>
        <w:tc>
          <w:tcPr>
            <w:tcW w:w="563" w:type="pct"/>
            <w:tcBorders>
              <w:top w:val="nil"/>
              <w:left w:val="nil"/>
              <w:bottom w:val="single" w:sz="4" w:space="0" w:color="auto"/>
              <w:right w:val="single" w:sz="4" w:space="0" w:color="auto"/>
            </w:tcBorders>
            <w:shd w:val="clear" w:color="auto" w:fill="auto"/>
            <w:noWrap/>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0.00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六、科学技术支出</w:t>
            </w:r>
          </w:p>
        </w:tc>
        <w:tc>
          <w:tcPr>
            <w:tcW w:w="559" w:type="pct"/>
            <w:gridSpan w:val="2"/>
            <w:tcBorders>
              <w:top w:val="nil"/>
              <w:left w:val="nil"/>
              <w:bottom w:val="single" w:sz="4" w:space="0" w:color="auto"/>
              <w:right w:val="single" w:sz="4" w:space="0" w:color="auto"/>
            </w:tcBorders>
            <w:shd w:val="clear" w:color="auto" w:fill="auto"/>
            <w:noWrap/>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55.59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六、其他收入</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8,730.45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七、文化体育与传媒支出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八、社会保障和就业支出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九、医疗卫生与计划生育支出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十、节能环保支出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十一、城乡社区支出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十二、农林水支出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1"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十三、交通运输支出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lastRenderedPageBreak/>
              <w:t xml:space="preserve">　</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single" w:sz="4" w:space="0" w:color="auto"/>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十四、资源勘探信息等支出</w:t>
            </w:r>
          </w:p>
        </w:tc>
        <w:tc>
          <w:tcPr>
            <w:tcW w:w="559" w:type="pct"/>
            <w:gridSpan w:val="2"/>
            <w:tcBorders>
              <w:top w:val="single" w:sz="4" w:space="0" w:color="auto"/>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十五、商业服务业等支出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十六、金融支出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十七、援助其他地区支出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十八、国土海洋气象等支出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十九、住房保障支出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5,472.19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二十、粮油物资储备支出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二十一、其他支出</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本年收入合计</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119,223.09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本年支出合计</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121,035.21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用事业基金弥补收支差额</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640.78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Calibri" w:eastAsia="宋体" w:hAnsi="Calibri" w:cs="宋体"/>
                <w:color w:val="000000"/>
                <w:kern w:val="0"/>
                <w:szCs w:val="21"/>
              </w:rPr>
            </w:pPr>
            <w:r w:rsidRPr="00176CAA">
              <w:rPr>
                <w:rFonts w:ascii="Calibri" w:eastAsia="宋体" w:hAnsi="Calibri" w:cs="宋体"/>
                <w:color w:val="000000"/>
                <w:kern w:val="0"/>
                <w:szCs w:val="21"/>
              </w:rPr>
              <w:t>结余分配</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138.36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年初结转和结余</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16,932.51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 xml:space="preserve">  其中：提取职工福利基金</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其中：项目支出结转和结余</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16,932.51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转入事业基金</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138.36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年末结转和结余</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15,622.81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其中：项目支出结转和结余</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15,807.05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lef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　</w:t>
            </w:r>
          </w:p>
        </w:tc>
      </w:tr>
      <w:tr w:rsidR="00176CAA" w:rsidRPr="00176CAA" w:rsidTr="00176CAA">
        <w:tblPrEx>
          <w:jc w:val="left"/>
        </w:tblPrEx>
        <w:trPr>
          <w:gridBefore w:val="1"/>
          <w:gridAfter w:val="1"/>
          <w:wBefore w:w="33" w:type="pct"/>
          <w:wAfter w:w="642" w:type="pct"/>
          <w:trHeight w:val="283"/>
        </w:trPr>
        <w:tc>
          <w:tcPr>
            <w:tcW w:w="1772" w:type="pct"/>
            <w:gridSpan w:val="2"/>
            <w:tcBorders>
              <w:top w:val="nil"/>
              <w:left w:val="single" w:sz="4" w:space="0" w:color="auto"/>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总计</w:t>
            </w:r>
          </w:p>
        </w:tc>
        <w:tc>
          <w:tcPr>
            <w:tcW w:w="563" w:type="pct"/>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136,796.38 </w:t>
            </w:r>
          </w:p>
        </w:tc>
        <w:tc>
          <w:tcPr>
            <w:tcW w:w="1430"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center"/>
              <w:rPr>
                <w:rFonts w:ascii="宋体" w:eastAsia="宋体" w:hAnsi="宋体" w:cs="宋体"/>
                <w:b/>
                <w:bCs/>
                <w:color w:val="000000"/>
                <w:kern w:val="0"/>
                <w:sz w:val="24"/>
                <w:szCs w:val="24"/>
              </w:rPr>
            </w:pPr>
            <w:r w:rsidRPr="00176CAA">
              <w:rPr>
                <w:rFonts w:ascii="宋体" w:eastAsia="宋体" w:hAnsi="宋体" w:cs="宋体" w:hint="eastAsia"/>
                <w:b/>
                <w:bCs/>
                <w:color w:val="000000"/>
                <w:kern w:val="0"/>
                <w:sz w:val="24"/>
                <w:szCs w:val="24"/>
              </w:rPr>
              <w:t>总计</w:t>
            </w:r>
          </w:p>
        </w:tc>
        <w:tc>
          <w:tcPr>
            <w:tcW w:w="559" w:type="pct"/>
            <w:gridSpan w:val="2"/>
            <w:tcBorders>
              <w:top w:val="nil"/>
              <w:left w:val="nil"/>
              <w:bottom w:val="single" w:sz="4" w:space="0" w:color="auto"/>
              <w:right w:val="single" w:sz="4" w:space="0" w:color="auto"/>
            </w:tcBorders>
            <w:shd w:val="clear" w:color="auto" w:fill="auto"/>
            <w:noWrap/>
            <w:vAlign w:val="center"/>
            <w:hideMark/>
          </w:tcPr>
          <w:p w:rsidR="00176CAA" w:rsidRPr="00176CAA" w:rsidRDefault="00176CAA" w:rsidP="00176CAA">
            <w:pPr>
              <w:widowControl/>
              <w:jc w:val="right"/>
              <w:rPr>
                <w:rFonts w:ascii="宋体" w:eastAsia="宋体" w:hAnsi="宋体" w:cs="宋体"/>
                <w:color w:val="000000"/>
                <w:kern w:val="0"/>
                <w:sz w:val="24"/>
                <w:szCs w:val="24"/>
              </w:rPr>
            </w:pPr>
            <w:r w:rsidRPr="00176CAA">
              <w:rPr>
                <w:rFonts w:ascii="宋体" w:eastAsia="宋体" w:hAnsi="宋体" w:cs="宋体" w:hint="eastAsia"/>
                <w:color w:val="000000"/>
                <w:kern w:val="0"/>
                <w:sz w:val="24"/>
                <w:szCs w:val="24"/>
              </w:rPr>
              <w:t xml:space="preserve">136,796.38 </w:t>
            </w:r>
          </w:p>
        </w:tc>
      </w:tr>
    </w:tbl>
    <w:p w:rsidR="00A103EE" w:rsidRDefault="00A103EE">
      <w:pPr>
        <w:widowControl/>
        <w:jc w:val="left"/>
        <w:rPr>
          <w:rFonts w:ascii="黑体" w:eastAsia="黑体" w:hAnsi="黑体"/>
          <w:sz w:val="32"/>
          <w:szCs w:val="32"/>
        </w:rPr>
      </w:pPr>
    </w:p>
    <w:tbl>
      <w:tblPr>
        <w:tblW w:w="14447" w:type="dxa"/>
        <w:jc w:val="right"/>
        <w:tblInd w:w="-273" w:type="dxa"/>
        <w:tblLook w:val="04A0" w:firstRow="1" w:lastRow="0" w:firstColumn="1" w:lastColumn="0" w:noHBand="0" w:noVBand="1"/>
      </w:tblPr>
      <w:tblGrid>
        <w:gridCol w:w="14447"/>
      </w:tblGrid>
      <w:tr w:rsidR="00A103EE" w:rsidRPr="00A103EE" w:rsidTr="004D0E0D">
        <w:trPr>
          <w:trHeight w:val="600"/>
          <w:jc w:val="right"/>
        </w:trPr>
        <w:tc>
          <w:tcPr>
            <w:tcW w:w="14438" w:type="dxa"/>
            <w:tcBorders>
              <w:top w:val="nil"/>
              <w:left w:val="nil"/>
              <w:bottom w:val="nil"/>
              <w:right w:val="nil"/>
            </w:tcBorders>
            <w:shd w:val="clear" w:color="auto" w:fill="auto"/>
            <w:noWrap/>
            <w:vAlign w:val="center"/>
            <w:hideMark/>
          </w:tcPr>
          <w:p w:rsidR="005B574C" w:rsidRDefault="005B574C"/>
          <w:p w:rsidR="005B574C" w:rsidRDefault="005B574C"/>
          <w:p w:rsidR="005B574C" w:rsidRDefault="005B574C"/>
          <w:p w:rsidR="005B574C" w:rsidRDefault="005B574C"/>
          <w:p w:rsidR="005B574C" w:rsidRDefault="005B574C"/>
          <w:tbl>
            <w:tblPr>
              <w:tblW w:w="5000" w:type="pct"/>
              <w:tblLook w:val="04A0" w:firstRow="1" w:lastRow="0" w:firstColumn="1" w:lastColumn="0" w:noHBand="0" w:noVBand="1"/>
            </w:tblPr>
            <w:tblGrid>
              <w:gridCol w:w="14231"/>
            </w:tblGrid>
            <w:tr w:rsidR="00C61169" w:rsidRPr="00C61169" w:rsidTr="0085181F">
              <w:trPr>
                <w:trHeight w:val="420"/>
              </w:trPr>
              <w:tc>
                <w:tcPr>
                  <w:tcW w:w="5000" w:type="pct"/>
                  <w:tcBorders>
                    <w:top w:val="nil"/>
                    <w:left w:val="nil"/>
                    <w:bottom w:val="nil"/>
                    <w:right w:val="nil"/>
                  </w:tcBorders>
                  <w:shd w:val="clear" w:color="auto" w:fill="auto"/>
                  <w:noWrap/>
                  <w:vAlign w:val="bottom"/>
                  <w:hideMark/>
                </w:tcPr>
                <w:p w:rsidR="00C61169" w:rsidRPr="00F006E5" w:rsidRDefault="00C61169" w:rsidP="004729BF">
                  <w:pPr>
                    <w:pStyle w:val="2"/>
                    <w:jc w:val="center"/>
                    <w:rPr>
                      <w:rFonts w:asciiTheme="minorEastAsia" w:hAnsiTheme="minorEastAsia" w:cs="Arial"/>
                      <w:b w:val="0"/>
                      <w:bCs w:val="0"/>
                      <w:color w:val="000000"/>
                      <w:kern w:val="0"/>
                    </w:rPr>
                  </w:pPr>
                  <w:bookmarkStart w:id="6" w:name="_Toc520369779"/>
                  <w:r w:rsidRPr="004729BF">
                    <w:rPr>
                      <w:rFonts w:hint="eastAsia"/>
                    </w:rPr>
                    <w:lastRenderedPageBreak/>
                    <w:t>表</w:t>
                  </w:r>
                  <w:r w:rsidRPr="004729BF">
                    <w:t>2</w:t>
                  </w:r>
                  <w:r w:rsidRPr="004729BF">
                    <w:rPr>
                      <w:rFonts w:hint="eastAsia"/>
                    </w:rPr>
                    <w:t>：高等学校收入决算表</w:t>
                  </w:r>
                  <w:bookmarkEnd w:id="6"/>
                </w:p>
                <w:p w:rsidR="00F006E5" w:rsidRPr="00C61169" w:rsidRDefault="00176CAA" w:rsidP="00F006E5">
                  <w:pPr>
                    <w:widowControl/>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部门</w:t>
                  </w:r>
                  <w:r w:rsidR="00F006E5" w:rsidRPr="00F006E5">
                    <w:rPr>
                      <w:rFonts w:asciiTheme="minorEastAsia" w:hAnsiTheme="minorEastAsia" w:cs="Arial" w:hint="eastAsia"/>
                      <w:bCs/>
                      <w:color w:val="000000"/>
                      <w:kern w:val="0"/>
                      <w:sz w:val="24"/>
                      <w:szCs w:val="24"/>
                    </w:rPr>
                    <w:t>：中国政法大学</w:t>
                  </w:r>
                  <w:r w:rsidR="00C4211D">
                    <w:rPr>
                      <w:rFonts w:asciiTheme="minorEastAsia" w:hAnsiTheme="minorEastAsia" w:cs="Arial" w:hint="eastAsia"/>
                      <w:bCs/>
                      <w:color w:val="000000"/>
                      <w:kern w:val="0"/>
                      <w:sz w:val="24"/>
                      <w:szCs w:val="24"/>
                    </w:rPr>
                    <w:t xml:space="preserve">                                                                                    金额单位：万元</w:t>
                  </w:r>
                </w:p>
              </w:tc>
            </w:tr>
          </w:tbl>
          <w:p w:rsidR="00A103EE" w:rsidRPr="00353AAF" w:rsidRDefault="00A103EE" w:rsidP="008413A7">
            <w:pPr>
              <w:pStyle w:val="2"/>
              <w:jc w:val="center"/>
            </w:pPr>
          </w:p>
        </w:tc>
      </w:tr>
      <w:tr w:rsidR="00DC057A" w:rsidRPr="00DC057A" w:rsidTr="004D0E0D">
        <w:trPr>
          <w:trHeight w:val="600"/>
          <w:jc w:val="right"/>
        </w:trPr>
        <w:tc>
          <w:tcPr>
            <w:tcW w:w="14447" w:type="dxa"/>
            <w:tcBorders>
              <w:top w:val="nil"/>
              <w:left w:val="nil"/>
              <w:bottom w:val="nil"/>
              <w:right w:val="nil"/>
            </w:tcBorders>
            <w:shd w:val="clear" w:color="auto" w:fill="auto"/>
            <w:noWrap/>
            <w:vAlign w:val="center"/>
            <w:hideMark/>
          </w:tcPr>
          <w:tbl>
            <w:tblPr>
              <w:tblW w:w="14206" w:type="dxa"/>
              <w:tblLook w:val="04A0" w:firstRow="1" w:lastRow="0" w:firstColumn="1" w:lastColumn="0" w:noHBand="0" w:noVBand="1"/>
            </w:tblPr>
            <w:tblGrid>
              <w:gridCol w:w="466"/>
              <w:gridCol w:w="466"/>
              <w:gridCol w:w="466"/>
              <w:gridCol w:w="3036"/>
              <w:gridCol w:w="1710"/>
              <w:gridCol w:w="1668"/>
              <w:gridCol w:w="1155"/>
              <w:gridCol w:w="1539"/>
              <w:gridCol w:w="1155"/>
              <w:gridCol w:w="1155"/>
              <w:gridCol w:w="1390"/>
            </w:tblGrid>
            <w:tr w:rsidR="00183548" w:rsidRPr="00183548" w:rsidTr="00183548">
              <w:trPr>
                <w:trHeight w:val="312"/>
              </w:trPr>
              <w:tc>
                <w:tcPr>
                  <w:tcW w:w="13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lastRenderedPageBreak/>
                    <w:t>科目编码</w:t>
                  </w:r>
                </w:p>
              </w:tc>
              <w:tc>
                <w:tcPr>
                  <w:tcW w:w="30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科目名称</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本年收入合计</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财政拨款收入</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上级补助收入</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事业收入</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经营收入</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附属单位上缴收入</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其他收入</w:t>
                  </w:r>
                </w:p>
              </w:tc>
            </w:tr>
            <w:tr w:rsidR="00183548" w:rsidRPr="00183548" w:rsidTr="00183548">
              <w:trPr>
                <w:trHeight w:val="312"/>
              </w:trPr>
              <w:tc>
                <w:tcPr>
                  <w:tcW w:w="1398"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r>
            <w:tr w:rsidR="00183548" w:rsidRPr="00183548" w:rsidTr="00183548">
              <w:trPr>
                <w:trHeight w:val="312"/>
              </w:trPr>
              <w:tc>
                <w:tcPr>
                  <w:tcW w:w="1398"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r>
            <w:tr w:rsidR="00183548" w:rsidRPr="00183548" w:rsidTr="008947D6">
              <w:trPr>
                <w:trHeight w:val="312"/>
              </w:trPr>
              <w:tc>
                <w:tcPr>
                  <w:tcW w:w="1398"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r>
            <w:tr w:rsidR="00183548" w:rsidRPr="00183548" w:rsidTr="008947D6">
              <w:trPr>
                <w:trHeight w:val="284"/>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类</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款</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项</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栏次</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1</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3</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4</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5</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6</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7</w:t>
                  </w:r>
                </w:p>
              </w:tc>
            </w:tr>
            <w:tr w:rsidR="00183548" w:rsidRPr="00183548" w:rsidTr="008947D6">
              <w:trPr>
                <w:trHeight w:val="284"/>
              </w:trPr>
              <w:tc>
                <w:tcPr>
                  <w:tcW w:w="466"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2"/>
                    </w:rPr>
                  </w:pP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2"/>
                    </w:rPr>
                  </w:pPr>
                  <w:r w:rsidRPr="00183548">
                    <w:rPr>
                      <w:rFonts w:ascii="宋体" w:eastAsia="宋体" w:hAnsi="宋体" w:cs="宋体" w:hint="eastAsia"/>
                      <w:color w:val="000000"/>
                      <w:kern w:val="0"/>
                      <w:sz w:val="22"/>
                    </w:rPr>
                    <w:t>合计</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119,223.09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69,350.69</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40,372.28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769.68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b/>
                      <w:bCs/>
                      <w:color w:val="000000"/>
                      <w:kern w:val="0"/>
                      <w:sz w:val="22"/>
                    </w:rPr>
                  </w:pPr>
                  <w:r w:rsidRPr="00183548">
                    <w:rPr>
                      <w:rFonts w:ascii="宋体" w:eastAsia="宋体" w:hAnsi="宋体" w:cs="宋体" w:hint="eastAsia"/>
                      <w:b/>
                      <w:bCs/>
                      <w:color w:val="000000"/>
                      <w:kern w:val="0"/>
                      <w:sz w:val="22"/>
                    </w:rPr>
                    <w:t>8,730.45</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201</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一般公共服务支出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50.22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50.22</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20110</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人力资源事务</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50.22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50.22</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2011004</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政府特殊津贴</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50.22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50.22</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教育支出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113,657.68</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65,283.98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40,372.28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767.41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7,234.01</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20502</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普通教育</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112,492.40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64,166.99</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40,372.28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767.41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7,185.73</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2050205</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高等教育</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112,492.40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64,166.99</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40,372.28</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767.41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7,185.73</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20506</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留学教育</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807.75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807.75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2050602</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来华留学教育</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807.75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807.75</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20599</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其他教育支出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357.53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309.24</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48.29</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2059999</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其他教育支出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357.53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309.24</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48.29</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207</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文化体育与传媒支出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43</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20799</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其他文化体育与传媒支出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43</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2079903</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文化产业发展专项支出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43</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221</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住房保障支出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5,472.19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4,023.71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2.27</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1,446.21</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22102</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住房改革支出</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5,472.19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4,023.71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2.27</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1,446.21</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lastRenderedPageBreak/>
                    <w:t>2210201</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住房公积金</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3,155.86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1,817.00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1,338.86</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2210202</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提租补贴</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429.62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320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2.27</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107.35</w:t>
                  </w:r>
                </w:p>
              </w:tc>
            </w:tr>
            <w:tr w:rsidR="00183548" w:rsidRPr="00183548" w:rsidTr="008947D6">
              <w:trPr>
                <w:trHeight w:val="284"/>
              </w:trPr>
              <w:tc>
                <w:tcPr>
                  <w:tcW w:w="1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2210203</w:t>
                  </w:r>
                </w:p>
              </w:tc>
              <w:tc>
                <w:tcPr>
                  <w:tcW w:w="3036"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2"/>
                    </w:rPr>
                  </w:pPr>
                  <w:r w:rsidRPr="00183548">
                    <w:rPr>
                      <w:rFonts w:ascii="宋体" w:eastAsia="宋体" w:hAnsi="宋体" w:cs="宋体" w:hint="eastAsia"/>
                      <w:color w:val="000000"/>
                      <w:kern w:val="0"/>
                      <w:sz w:val="22"/>
                    </w:rPr>
                    <w:t xml:space="preserve">  购房补贴</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1,886.71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1,886.71</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2"/>
                    </w:rPr>
                  </w:pPr>
                  <w:r w:rsidRPr="00183548">
                    <w:rPr>
                      <w:rFonts w:ascii="宋体" w:eastAsia="宋体" w:hAnsi="宋体" w:cs="宋体" w:hint="eastAsia"/>
                      <w:color w:val="000000"/>
                      <w:kern w:val="0"/>
                      <w:sz w:val="22"/>
                    </w:rPr>
                    <w:t>0</w:t>
                  </w:r>
                </w:p>
              </w:tc>
            </w:tr>
          </w:tbl>
          <w:p w:rsidR="004D0E0D" w:rsidRDefault="004D0E0D"/>
          <w:tbl>
            <w:tblPr>
              <w:tblW w:w="5000" w:type="pct"/>
              <w:tblLook w:val="04A0" w:firstRow="1" w:lastRow="0" w:firstColumn="1" w:lastColumn="0" w:noHBand="0" w:noVBand="1"/>
            </w:tblPr>
            <w:tblGrid>
              <w:gridCol w:w="17"/>
              <w:gridCol w:w="589"/>
              <w:gridCol w:w="564"/>
              <w:gridCol w:w="558"/>
              <w:gridCol w:w="2974"/>
              <w:gridCol w:w="1998"/>
              <w:gridCol w:w="1614"/>
              <w:gridCol w:w="1614"/>
              <w:gridCol w:w="1332"/>
              <w:gridCol w:w="1383"/>
              <w:gridCol w:w="1588"/>
            </w:tblGrid>
            <w:tr w:rsidR="00C61169" w:rsidRPr="00C61169" w:rsidTr="0085181F">
              <w:trPr>
                <w:gridBefore w:val="1"/>
                <w:trHeight w:val="570"/>
              </w:trPr>
              <w:tc>
                <w:tcPr>
                  <w:tcW w:w="5000" w:type="pct"/>
                  <w:gridSpan w:val="10"/>
                  <w:tcBorders>
                    <w:top w:val="nil"/>
                    <w:left w:val="nil"/>
                    <w:bottom w:val="single" w:sz="4" w:space="0" w:color="auto"/>
                    <w:right w:val="nil"/>
                  </w:tcBorders>
                  <w:shd w:val="clear" w:color="auto" w:fill="auto"/>
                  <w:noWrap/>
                  <w:vAlign w:val="bottom"/>
                  <w:hideMark/>
                </w:tcPr>
                <w:p w:rsidR="00C61169" w:rsidRDefault="00C61169" w:rsidP="004729BF">
                  <w:pPr>
                    <w:pStyle w:val="2"/>
                    <w:jc w:val="center"/>
                  </w:pPr>
                  <w:bookmarkStart w:id="7" w:name="_Toc520369780"/>
                  <w:r w:rsidRPr="004729BF">
                    <w:rPr>
                      <w:rFonts w:hint="eastAsia"/>
                    </w:rPr>
                    <w:t>表</w:t>
                  </w:r>
                  <w:r w:rsidRPr="004729BF">
                    <w:rPr>
                      <w:rFonts w:hint="eastAsia"/>
                    </w:rPr>
                    <w:t>3</w:t>
                  </w:r>
                  <w:r w:rsidRPr="004729BF">
                    <w:rPr>
                      <w:rFonts w:hint="eastAsia"/>
                    </w:rPr>
                    <w:t>：高等学校支出决算表</w:t>
                  </w:r>
                  <w:bookmarkEnd w:id="7"/>
                </w:p>
                <w:p w:rsidR="004A1D33" w:rsidRPr="004A1D33" w:rsidRDefault="004A1D33" w:rsidP="004A1D33">
                  <w:r w:rsidRPr="0023181E">
                    <w:rPr>
                      <w:rFonts w:asciiTheme="minorEastAsia" w:hAnsiTheme="minorEastAsia" w:hint="eastAsia"/>
                      <w:sz w:val="24"/>
                      <w:szCs w:val="24"/>
                    </w:rPr>
                    <w:t>部门：</w:t>
                  </w:r>
                  <w:r>
                    <w:rPr>
                      <w:rFonts w:asciiTheme="minorEastAsia" w:hAnsiTheme="minorEastAsia" w:hint="eastAsia"/>
                      <w:sz w:val="24"/>
                      <w:szCs w:val="24"/>
                    </w:rPr>
                    <w:t xml:space="preserve">中国政法大学                                                     </w:t>
                  </w:r>
                  <w:r w:rsidR="00B810FC">
                    <w:rPr>
                      <w:rFonts w:asciiTheme="minorEastAsia" w:hAnsiTheme="minorEastAsia" w:hint="eastAsia"/>
                      <w:sz w:val="24"/>
                      <w:szCs w:val="24"/>
                    </w:rPr>
                    <w:t xml:space="preserve">                               </w:t>
                  </w:r>
                  <w:r>
                    <w:rPr>
                      <w:rFonts w:asciiTheme="minorEastAsia" w:hAnsiTheme="minorEastAsia" w:hint="eastAsia"/>
                      <w:sz w:val="24"/>
                      <w:szCs w:val="24"/>
                    </w:rPr>
                    <w:t>金额单位：万元</w:t>
                  </w:r>
                </w:p>
              </w:tc>
            </w:tr>
            <w:tr w:rsidR="00B810FC" w:rsidRPr="00B810FC" w:rsidTr="00B810FC">
              <w:trPr>
                <w:trHeight w:val="312"/>
              </w:trPr>
              <w:tc>
                <w:tcPr>
                  <w:tcW w:w="13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科目编码</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科目名称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本年支出合计</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基本支出</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项目支出</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上缴上级支出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经营支出</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对附属单位补助支出</w:t>
                  </w:r>
                </w:p>
              </w:tc>
            </w:tr>
            <w:tr w:rsidR="00B810FC" w:rsidRPr="00B810FC" w:rsidTr="00B810FC">
              <w:trPr>
                <w:trHeight w:val="312"/>
              </w:trPr>
              <w:tc>
                <w:tcPr>
                  <w:tcW w:w="1320" w:type="dxa"/>
                  <w:gridSpan w:val="4"/>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r>
            <w:tr w:rsidR="00B810FC" w:rsidRPr="00B810FC" w:rsidTr="00B810FC">
              <w:trPr>
                <w:trHeight w:val="312"/>
              </w:trPr>
              <w:tc>
                <w:tcPr>
                  <w:tcW w:w="1320" w:type="dxa"/>
                  <w:gridSpan w:val="4"/>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r>
            <w:tr w:rsidR="00B810FC" w:rsidRPr="00B810FC" w:rsidTr="00B810FC">
              <w:trPr>
                <w:trHeight w:val="285"/>
              </w:trPr>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类</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款</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项</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栏次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6</w:t>
                  </w:r>
                </w:p>
              </w:tc>
            </w:tr>
            <w:tr w:rsidR="00B810FC" w:rsidRPr="00B810FC" w:rsidTr="00B810FC">
              <w:trPr>
                <w:trHeight w:val="285"/>
              </w:trPr>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B810FC" w:rsidRPr="00B810FC" w:rsidRDefault="00B810FC" w:rsidP="00B810FC">
                  <w:pPr>
                    <w:widowControl/>
                    <w:jc w:val="left"/>
                    <w:rPr>
                      <w:rFonts w:ascii="宋体" w:eastAsia="宋体" w:hAnsi="宋体" w:cs="宋体"/>
                      <w:color w:val="000000"/>
                      <w:kern w:val="0"/>
                      <w:sz w:val="22"/>
                    </w:rPr>
                  </w:pP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B810FC" w:rsidRPr="00B810FC" w:rsidRDefault="00B810FC" w:rsidP="00B810FC">
                  <w:pPr>
                    <w:widowControl/>
                    <w:jc w:val="center"/>
                    <w:rPr>
                      <w:rFonts w:ascii="宋体" w:eastAsia="宋体" w:hAnsi="宋体" w:cs="宋体"/>
                      <w:color w:val="000000"/>
                      <w:kern w:val="0"/>
                      <w:sz w:val="22"/>
                    </w:rPr>
                  </w:pPr>
                  <w:r w:rsidRPr="00B810FC">
                    <w:rPr>
                      <w:rFonts w:ascii="宋体" w:eastAsia="宋体" w:hAnsi="宋体" w:cs="宋体" w:hint="eastAsia"/>
                      <w:color w:val="000000"/>
                      <w:kern w:val="0"/>
                      <w:sz w:val="22"/>
                    </w:rPr>
                    <w:t>合计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b/>
                      <w:bCs/>
                      <w:color w:val="000000"/>
                      <w:kern w:val="0"/>
                      <w:sz w:val="22"/>
                    </w:rPr>
                  </w:pPr>
                  <w:r w:rsidRPr="00B810FC">
                    <w:rPr>
                      <w:rFonts w:ascii="宋体" w:eastAsia="宋体" w:hAnsi="宋体" w:cs="宋体" w:hint="eastAsia"/>
                      <w:b/>
                      <w:bCs/>
                      <w:color w:val="000000"/>
                      <w:kern w:val="0"/>
                      <w:sz w:val="22"/>
                    </w:rPr>
                    <w:t xml:space="preserve">121,035.21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b/>
                      <w:bCs/>
                      <w:color w:val="000000"/>
                      <w:kern w:val="0"/>
                      <w:sz w:val="22"/>
                    </w:rPr>
                  </w:pPr>
                  <w:r w:rsidRPr="00B810FC">
                    <w:rPr>
                      <w:rFonts w:ascii="宋体" w:eastAsia="宋体" w:hAnsi="宋体" w:cs="宋体" w:hint="eastAsia"/>
                      <w:b/>
                      <w:bCs/>
                      <w:color w:val="000000"/>
                      <w:kern w:val="0"/>
                      <w:sz w:val="22"/>
                    </w:rPr>
                    <w:t xml:space="preserve">95,016.19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b/>
                      <w:bCs/>
                      <w:color w:val="000000"/>
                      <w:kern w:val="0"/>
                      <w:sz w:val="22"/>
                    </w:rPr>
                  </w:pPr>
                  <w:r w:rsidRPr="00B810FC">
                    <w:rPr>
                      <w:rFonts w:ascii="宋体" w:eastAsia="宋体" w:hAnsi="宋体" w:cs="宋体" w:hint="eastAsia"/>
                      <w:b/>
                      <w:bCs/>
                      <w:color w:val="000000"/>
                      <w:kern w:val="0"/>
                      <w:sz w:val="22"/>
                    </w:rPr>
                    <w:t xml:space="preserve">25,065.11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b/>
                      <w:bCs/>
                      <w:color w:val="000000"/>
                      <w:kern w:val="0"/>
                      <w:sz w:val="22"/>
                    </w:rPr>
                  </w:pPr>
                  <w:r w:rsidRPr="00B810FC">
                    <w:rPr>
                      <w:rFonts w:ascii="宋体" w:eastAsia="宋体" w:hAnsi="宋体" w:cs="宋体" w:hint="eastAsia"/>
                      <w:b/>
                      <w:bCs/>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b/>
                      <w:bCs/>
                      <w:color w:val="000000"/>
                      <w:kern w:val="0"/>
                      <w:sz w:val="22"/>
                    </w:rPr>
                  </w:pPr>
                  <w:r w:rsidRPr="00B810FC">
                    <w:rPr>
                      <w:rFonts w:ascii="宋体" w:eastAsia="宋体" w:hAnsi="宋体" w:cs="宋体" w:hint="eastAsia"/>
                      <w:b/>
                      <w:bCs/>
                      <w:color w:val="000000"/>
                      <w:kern w:val="0"/>
                      <w:sz w:val="22"/>
                    </w:rPr>
                    <w:t xml:space="preserve">953.92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b/>
                      <w:bCs/>
                      <w:color w:val="000000"/>
                      <w:kern w:val="0"/>
                      <w:sz w:val="22"/>
                    </w:rPr>
                  </w:pPr>
                  <w:r w:rsidRPr="00B810FC">
                    <w:rPr>
                      <w:rFonts w:ascii="宋体" w:eastAsia="宋体" w:hAnsi="宋体" w:cs="宋体" w:hint="eastAsia"/>
                      <w:b/>
                      <w:bCs/>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201</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一般公共服务支出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50.22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50.22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20110</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人力资源事务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50.22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50.22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2011004</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政府特殊津贴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50.22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50.22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教育支出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115,457.21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89,546.27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24,959.30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951.65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20501</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教育管理事务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2.17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2.17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2050102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一般行政管理事务</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2.17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2.17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20502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普通教育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114,298.28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89,497.98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23,848.65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951.65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2050205</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高等教育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114,298.28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89,497.98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23,848.65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951.65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20506</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留学教育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731.53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731.53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2050602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来华留学教育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731.53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731.53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20599</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其他教育支出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425.24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48.29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376.95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2059999</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其他教育支出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425.24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48.29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376.95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lastRenderedPageBreak/>
                    <w:t>206</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科学技术支出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55.59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55.59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20602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基础研究</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55.59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55.59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2060299</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其他基础研究支出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55.59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55.59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221</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住房保障支出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5,472.19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5,469.92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2.27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22102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住房改革支出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5,472.19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5,469.92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2.27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2210201</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住房公积金</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3,155.86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3,155.86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2210202</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提租补贴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429.62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427.35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2.27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r w:rsidR="00B810FC" w:rsidRPr="00B810FC" w:rsidTr="00B810FC">
              <w:trPr>
                <w:trHeight w:val="285"/>
              </w:trPr>
              <w:tc>
                <w:tcPr>
                  <w:tcW w:w="13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2210203</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lef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  购房补贴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1,886.71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1,886.71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810FC" w:rsidRPr="00B810FC" w:rsidRDefault="00B810FC" w:rsidP="00B810FC">
                  <w:pPr>
                    <w:widowControl/>
                    <w:jc w:val="right"/>
                    <w:rPr>
                      <w:rFonts w:ascii="宋体" w:eastAsia="宋体" w:hAnsi="宋体" w:cs="宋体"/>
                      <w:color w:val="000000"/>
                      <w:kern w:val="0"/>
                      <w:sz w:val="22"/>
                    </w:rPr>
                  </w:pPr>
                  <w:r w:rsidRPr="00B810FC">
                    <w:rPr>
                      <w:rFonts w:ascii="宋体" w:eastAsia="宋体" w:hAnsi="宋体" w:cs="宋体" w:hint="eastAsia"/>
                      <w:color w:val="000000"/>
                      <w:kern w:val="0"/>
                      <w:sz w:val="22"/>
                    </w:rPr>
                    <w:t xml:space="preserve">0.00 </w:t>
                  </w:r>
                </w:p>
              </w:tc>
            </w:tr>
          </w:tbl>
          <w:p w:rsidR="00DC057A" w:rsidRPr="00353AAF" w:rsidRDefault="00DC057A" w:rsidP="004D0E0D">
            <w:pPr>
              <w:pStyle w:val="2"/>
            </w:pPr>
          </w:p>
        </w:tc>
      </w:tr>
    </w:tbl>
    <w:p w:rsidR="00A103EE" w:rsidRDefault="00A103E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Theme="minorEastAsia" w:hAnsiTheme="minorEastAsia"/>
          <w:sz w:val="24"/>
          <w:szCs w:val="24"/>
        </w:rPr>
      </w:pPr>
    </w:p>
    <w:p w:rsidR="00010434" w:rsidRDefault="00010434" w:rsidP="005C2FBB">
      <w:pPr>
        <w:pStyle w:val="2"/>
        <w:jc w:val="center"/>
        <w:rPr>
          <w:rFonts w:asciiTheme="minorEastAsia" w:hAnsiTheme="minorEastAsia"/>
          <w:sz w:val="24"/>
          <w:szCs w:val="24"/>
        </w:rPr>
      </w:pPr>
      <w:bookmarkStart w:id="8" w:name="_Toc520369781"/>
      <w:r w:rsidRPr="005C2FBB">
        <w:rPr>
          <w:rFonts w:hint="eastAsia"/>
        </w:rPr>
        <w:t>表</w:t>
      </w:r>
      <w:r w:rsidRPr="005C2FBB">
        <w:rPr>
          <w:rFonts w:hint="eastAsia"/>
        </w:rPr>
        <w:t>4</w:t>
      </w:r>
      <w:r w:rsidRPr="005C2FBB">
        <w:rPr>
          <w:rFonts w:hint="eastAsia"/>
        </w:rPr>
        <w:t>：</w:t>
      </w:r>
      <w:r w:rsidR="005C2FBB" w:rsidRPr="005C2FBB">
        <w:rPr>
          <w:rFonts w:hint="eastAsia"/>
        </w:rPr>
        <w:t>高等学校财政拨款支出决算表</w:t>
      </w:r>
      <w:bookmarkEnd w:id="8"/>
    </w:p>
    <w:p w:rsidR="0023181E" w:rsidRDefault="0023181E">
      <w:pPr>
        <w:widowControl/>
        <w:jc w:val="left"/>
        <w:rPr>
          <w:rFonts w:asciiTheme="minorEastAsia" w:hAnsiTheme="minorEastAsia"/>
          <w:sz w:val="24"/>
          <w:szCs w:val="24"/>
        </w:rPr>
      </w:pPr>
      <w:r w:rsidRPr="0023181E">
        <w:rPr>
          <w:rFonts w:asciiTheme="minorEastAsia" w:hAnsiTheme="minorEastAsia" w:hint="eastAsia"/>
          <w:sz w:val="24"/>
          <w:szCs w:val="24"/>
        </w:rPr>
        <w:t>部门：</w:t>
      </w:r>
      <w:r>
        <w:rPr>
          <w:rFonts w:asciiTheme="minorEastAsia" w:hAnsiTheme="minorEastAsia" w:hint="eastAsia"/>
          <w:sz w:val="24"/>
          <w:szCs w:val="24"/>
        </w:rPr>
        <w:t>中国政法大学                                                                                     金额单位：万元</w:t>
      </w:r>
    </w:p>
    <w:tbl>
      <w:tblPr>
        <w:tblW w:w="13931" w:type="dxa"/>
        <w:tblInd w:w="93" w:type="dxa"/>
        <w:tblLook w:val="04A0" w:firstRow="1" w:lastRow="0" w:firstColumn="1" w:lastColumn="0" w:noHBand="0" w:noVBand="1"/>
      </w:tblPr>
      <w:tblGrid>
        <w:gridCol w:w="868"/>
        <w:gridCol w:w="827"/>
        <w:gridCol w:w="762"/>
        <w:gridCol w:w="4459"/>
        <w:gridCol w:w="2338"/>
        <w:gridCol w:w="2338"/>
        <w:gridCol w:w="2339"/>
      </w:tblGrid>
      <w:tr w:rsidR="00183548" w:rsidRPr="00183548" w:rsidTr="00183548">
        <w:trPr>
          <w:trHeight w:val="272"/>
        </w:trPr>
        <w:tc>
          <w:tcPr>
            <w:tcW w:w="2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lastRenderedPageBreak/>
              <w:t>科目编码</w:t>
            </w:r>
          </w:p>
        </w:tc>
        <w:tc>
          <w:tcPr>
            <w:tcW w:w="4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科目名称</w:t>
            </w:r>
          </w:p>
        </w:tc>
        <w:tc>
          <w:tcPr>
            <w:tcW w:w="7015" w:type="dxa"/>
            <w:gridSpan w:val="3"/>
            <w:tcBorders>
              <w:top w:val="single" w:sz="4" w:space="0" w:color="auto"/>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本年支出</w:t>
            </w:r>
          </w:p>
        </w:tc>
      </w:tr>
      <w:tr w:rsidR="00183548" w:rsidRPr="00183548" w:rsidTr="00183548">
        <w:trPr>
          <w:trHeight w:val="312"/>
        </w:trPr>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合计</w:t>
            </w: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基本支出</w:t>
            </w: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项目支出</w:t>
            </w:r>
          </w:p>
        </w:tc>
      </w:tr>
      <w:tr w:rsidR="00183548" w:rsidRPr="00183548" w:rsidTr="00183548">
        <w:trPr>
          <w:trHeight w:val="312"/>
        </w:trPr>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2338"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r>
      <w:tr w:rsidR="00183548" w:rsidRPr="00183548" w:rsidTr="00183548">
        <w:trPr>
          <w:trHeight w:val="272"/>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类</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款</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项</w:t>
            </w:r>
          </w:p>
        </w:tc>
        <w:tc>
          <w:tcPr>
            <w:tcW w:w="4459" w:type="dxa"/>
            <w:tcBorders>
              <w:top w:val="nil"/>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栏次</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1</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w:t>
            </w:r>
          </w:p>
        </w:tc>
        <w:tc>
          <w:tcPr>
            <w:tcW w:w="2338" w:type="dxa"/>
            <w:tcBorders>
              <w:top w:val="nil"/>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3</w:t>
            </w:r>
          </w:p>
        </w:tc>
      </w:tr>
      <w:tr w:rsidR="00183548" w:rsidRPr="00183548" w:rsidTr="00183548">
        <w:trPr>
          <w:trHeight w:val="272"/>
        </w:trPr>
        <w:tc>
          <w:tcPr>
            <w:tcW w:w="868"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827"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762" w:type="dxa"/>
            <w:vMerge/>
            <w:tcBorders>
              <w:top w:val="nil"/>
              <w:left w:val="single" w:sz="4" w:space="0" w:color="auto"/>
              <w:bottom w:val="single" w:sz="4" w:space="0" w:color="auto"/>
              <w:right w:val="single" w:sz="4" w:space="0" w:color="auto"/>
            </w:tcBorders>
            <w:vAlign w:val="center"/>
            <w:hideMark/>
          </w:tcPr>
          <w:p w:rsidR="00183548" w:rsidRPr="00183548" w:rsidRDefault="00183548" w:rsidP="00183548">
            <w:pPr>
              <w:widowControl/>
              <w:jc w:val="left"/>
              <w:rPr>
                <w:rFonts w:ascii="宋体" w:eastAsia="宋体" w:hAnsi="宋体" w:cs="宋体"/>
                <w:color w:val="000000"/>
                <w:kern w:val="0"/>
                <w:sz w:val="24"/>
                <w:szCs w:val="24"/>
              </w:rPr>
            </w:pPr>
          </w:p>
        </w:tc>
        <w:tc>
          <w:tcPr>
            <w:tcW w:w="4459" w:type="dxa"/>
            <w:tcBorders>
              <w:top w:val="nil"/>
              <w:left w:val="nil"/>
              <w:bottom w:val="single" w:sz="4" w:space="0" w:color="auto"/>
              <w:right w:val="single" w:sz="4" w:space="0" w:color="auto"/>
            </w:tcBorders>
            <w:shd w:val="clear" w:color="auto" w:fill="auto"/>
            <w:vAlign w:val="center"/>
            <w:hideMark/>
          </w:tcPr>
          <w:p w:rsidR="00183548" w:rsidRPr="00183548" w:rsidRDefault="00183548" w:rsidP="00183548">
            <w:pPr>
              <w:widowControl/>
              <w:jc w:val="center"/>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合计</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72,799.10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51,771.74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21,027.36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教育支出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68,719.80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47,748.03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20,971.77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20501</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教育管理事务</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2.17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2.17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2050102</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一般行政管理事务</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2.17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2.17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20502</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普通教育</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67,609.15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47,748.03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19,861.12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2050205</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高等教育</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67,609.15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47,748.03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19,861.12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20506</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留学教育</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731.53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731.53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2050602</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来华留学教育</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731.53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731.53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20599</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其他教育支出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376.95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376.95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2059999</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其他教育支出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376.95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376.95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206</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科学技术支出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55.59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55.59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20602</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基础研究</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55.59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55.59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2060299</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其他基础研究支出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55.59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55.59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207</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文化体育与传媒支出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20799</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其他文化体育与传媒支出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2079903</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文化产业发展专项支出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221</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住房保障支出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4,023.71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4,023.71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22102</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住房改革支出</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4,023.71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4,023.71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2210201</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住房公积金</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1,817.00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1,817.00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2210202</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提租补贴</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320.00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320.00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r w:rsidR="00183548" w:rsidRPr="00183548" w:rsidTr="00183548">
        <w:trPr>
          <w:trHeight w:val="272"/>
        </w:trPr>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2210203</w:t>
            </w:r>
          </w:p>
        </w:tc>
        <w:tc>
          <w:tcPr>
            <w:tcW w:w="4459"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lef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  购房补贴</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1,886.71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1,886.71 </w:t>
            </w:r>
          </w:p>
        </w:tc>
        <w:tc>
          <w:tcPr>
            <w:tcW w:w="2338" w:type="dxa"/>
            <w:tcBorders>
              <w:top w:val="nil"/>
              <w:left w:val="nil"/>
              <w:bottom w:val="single" w:sz="4" w:space="0" w:color="auto"/>
              <w:right w:val="single" w:sz="4" w:space="0" w:color="auto"/>
            </w:tcBorders>
            <w:shd w:val="clear" w:color="auto" w:fill="auto"/>
            <w:noWrap/>
            <w:vAlign w:val="center"/>
            <w:hideMark/>
          </w:tcPr>
          <w:p w:rsidR="00183548" w:rsidRPr="00183548" w:rsidRDefault="00183548" w:rsidP="00183548">
            <w:pPr>
              <w:widowControl/>
              <w:jc w:val="right"/>
              <w:rPr>
                <w:rFonts w:ascii="宋体" w:eastAsia="宋体" w:hAnsi="宋体" w:cs="宋体"/>
                <w:color w:val="000000"/>
                <w:kern w:val="0"/>
                <w:sz w:val="24"/>
                <w:szCs w:val="24"/>
              </w:rPr>
            </w:pPr>
            <w:r w:rsidRPr="00183548">
              <w:rPr>
                <w:rFonts w:ascii="宋体" w:eastAsia="宋体" w:hAnsi="宋体" w:cs="宋体" w:hint="eastAsia"/>
                <w:color w:val="000000"/>
                <w:kern w:val="0"/>
                <w:sz w:val="24"/>
                <w:szCs w:val="24"/>
              </w:rPr>
              <w:t xml:space="preserve">0.00 </w:t>
            </w:r>
          </w:p>
        </w:tc>
      </w:tr>
    </w:tbl>
    <w:p w:rsidR="004D0E0D" w:rsidRDefault="004D0E0D">
      <w:pPr>
        <w:widowControl/>
        <w:jc w:val="left"/>
        <w:rPr>
          <w:rFonts w:ascii="黑体" w:eastAsia="黑体" w:hAnsi="黑体"/>
          <w:sz w:val="32"/>
          <w:szCs w:val="32"/>
        </w:rPr>
        <w:sectPr w:rsidR="004D0E0D" w:rsidSect="002743EB">
          <w:pgSz w:w="16838" w:h="11906" w:orient="landscape"/>
          <w:pgMar w:top="1800" w:right="1440" w:bottom="1800" w:left="1440" w:header="851" w:footer="992" w:gutter="0"/>
          <w:cols w:space="425"/>
          <w:docGrid w:type="lines" w:linePitch="312"/>
        </w:sectPr>
      </w:pPr>
    </w:p>
    <w:p w:rsidR="00150250" w:rsidRPr="008D7DFA" w:rsidRDefault="00150250" w:rsidP="000307A3">
      <w:pPr>
        <w:pStyle w:val="1"/>
        <w:ind w:firstLineChars="200" w:firstLine="643"/>
        <w:rPr>
          <w:rFonts w:ascii="Times New Roman" w:eastAsia="黑体" w:hAnsi="黑体" w:cs="Times New Roman"/>
          <w:sz w:val="32"/>
          <w:szCs w:val="32"/>
        </w:rPr>
      </w:pPr>
      <w:bookmarkStart w:id="9" w:name="_Toc520369782"/>
      <w:r w:rsidRPr="008D7DFA">
        <w:rPr>
          <w:rFonts w:ascii="Times New Roman" w:eastAsia="黑体" w:hAnsi="黑体" w:cs="Times New Roman" w:hint="eastAsia"/>
          <w:sz w:val="32"/>
          <w:szCs w:val="32"/>
        </w:rPr>
        <w:lastRenderedPageBreak/>
        <w:t>三、决算报表说明</w:t>
      </w:r>
      <w:bookmarkEnd w:id="9"/>
    </w:p>
    <w:p w:rsidR="00150250" w:rsidRPr="00E87D90" w:rsidRDefault="00150250" w:rsidP="001910F3">
      <w:pPr>
        <w:pStyle w:val="2"/>
        <w:ind w:firstLineChars="200" w:firstLine="641"/>
        <w:rPr>
          <w:rFonts w:asciiTheme="minorEastAsia" w:eastAsiaTheme="minorEastAsia" w:hAnsiTheme="minorEastAsia" w:cs="Times New Roman"/>
          <w:bCs w:val="0"/>
          <w:kern w:val="44"/>
        </w:rPr>
      </w:pPr>
      <w:bookmarkStart w:id="10" w:name="_Toc520369783"/>
      <w:r w:rsidRPr="00E87D90">
        <w:rPr>
          <w:rFonts w:ascii="Times New Roman" w:eastAsia="华文楷体" w:hAnsi="华文楷体" w:cs="Times New Roman" w:hint="eastAsia"/>
        </w:rPr>
        <w:t>（一）高等学校收支决算总表说明</w:t>
      </w:r>
      <w:bookmarkEnd w:id="10"/>
    </w:p>
    <w:p w:rsidR="001B28ED"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593535" w:rsidRPr="00E87D90">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年收入总计</w:t>
      </w:r>
      <w:r w:rsidR="00593535" w:rsidRPr="00E87D90">
        <w:rPr>
          <w:rFonts w:asciiTheme="minorEastAsia" w:hAnsiTheme="minorEastAsia" w:cs="Times New Roman"/>
          <w:bCs/>
          <w:kern w:val="44"/>
          <w:sz w:val="32"/>
          <w:szCs w:val="32"/>
        </w:rPr>
        <w:t>119,223.09</w:t>
      </w:r>
      <w:r w:rsidR="003A11BB" w:rsidRPr="00E87D90">
        <w:rPr>
          <w:rFonts w:asciiTheme="minorEastAsia" w:hAnsiTheme="minorEastAsia" w:cs="Times New Roman" w:hint="eastAsia"/>
          <w:bCs/>
          <w:kern w:val="44"/>
          <w:sz w:val="32"/>
          <w:szCs w:val="32"/>
        </w:rPr>
        <w:t>万元，较</w:t>
      </w:r>
      <w:r w:rsidR="00593535" w:rsidRPr="00E87D90">
        <w:rPr>
          <w:rFonts w:asciiTheme="minorEastAsia" w:hAnsiTheme="minorEastAsia" w:cs="Times New Roman" w:hint="eastAsia"/>
          <w:bCs/>
          <w:kern w:val="44"/>
          <w:sz w:val="32"/>
          <w:szCs w:val="32"/>
        </w:rPr>
        <w:t>2016</w:t>
      </w:r>
      <w:r w:rsidRPr="00E87D90">
        <w:rPr>
          <w:rFonts w:asciiTheme="minorEastAsia" w:hAnsiTheme="minorEastAsia" w:cs="Times New Roman" w:hint="eastAsia"/>
          <w:bCs/>
          <w:kern w:val="44"/>
          <w:sz w:val="32"/>
          <w:szCs w:val="32"/>
        </w:rPr>
        <w:t>年</w:t>
      </w:r>
      <w:r w:rsidR="00593535" w:rsidRPr="00E87D90">
        <w:rPr>
          <w:rFonts w:asciiTheme="minorEastAsia" w:hAnsiTheme="minorEastAsia" w:cs="Times New Roman"/>
          <w:bCs/>
          <w:kern w:val="44"/>
          <w:sz w:val="32"/>
          <w:szCs w:val="32"/>
        </w:rPr>
        <w:t>108,651.54</w:t>
      </w:r>
      <w:r w:rsidR="00713BE4" w:rsidRPr="00E87D90">
        <w:rPr>
          <w:rFonts w:asciiTheme="minorEastAsia" w:hAnsiTheme="minorEastAsia" w:cs="Times New Roman" w:hint="eastAsia"/>
          <w:bCs/>
          <w:kern w:val="44"/>
          <w:sz w:val="32"/>
          <w:szCs w:val="32"/>
        </w:rPr>
        <w:t>万元</w:t>
      </w:r>
      <w:r w:rsidRPr="00E87D90">
        <w:rPr>
          <w:rFonts w:asciiTheme="minorEastAsia" w:hAnsiTheme="minorEastAsia" w:cs="Times New Roman" w:hint="eastAsia"/>
          <w:bCs/>
          <w:kern w:val="44"/>
          <w:sz w:val="32"/>
          <w:szCs w:val="32"/>
        </w:rPr>
        <w:t>增加</w:t>
      </w:r>
      <w:r w:rsidR="00593535" w:rsidRPr="00E87D90">
        <w:rPr>
          <w:rFonts w:asciiTheme="minorEastAsia" w:hAnsiTheme="minorEastAsia" w:cs="Times New Roman"/>
          <w:bCs/>
          <w:kern w:val="44"/>
          <w:sz w:val="32"/>
          <w:szCs w:val="32"/>
        </w:rPr>
        <w:t>10,571.55</w:t>
      </w:r>
      <w:r w:rsidRPr="00E87D90">
        <w:rPr>
          <w:rFonts w:asciiTheme="minorEastAsia" w:hAnsiTheme="minorEastAsia" w:cs="Times New Roman" w:hint="eastAsia"/>
          <w:bCs/>
          <w:kern w:val="44"/>
          <w:sz w:val="32"/>
          <w:szCs w:val="32"/>
        </w:rPr>
        <w:t>万元，增长</w:t>
      </w:r>
      <w:r w:rsidR="00593535" w:rsidRPr="00E87D90">
        <w:rPr>
          <w:rFonts w:asciiTheme="minorEastAsia" w:hAnsiTheme="minorEastAsia" w:cs="Times New Roman"/>
          <w:sz w:val="32"/>
          <w:szCs w:val="32"/>
        </w:rPr>
        <w:t>9.73%</w:t>
      </w:r>
      <w:r w:rsidRPr="00E87D90">
        <w:rPr>
          <w:rFonts w:asciiTheme="minorEastAsia" w:hAnsiTheme="minorEastAsia" w:cs="Times New Roman" w:hint="eastAsia"/>
          <w:bCs/>
          <w:kern w:val="44"/>
          <w:sz w:val="32"/>
          <w:szCs w:val="32"/>
        </w:rPr>
        <w:t>。其中：财政</w:t>
      </w:r>
      <w:r w:rsidR="00D83976" w:rsidRPr="00E87D90">
        <w:rPr>
          <w:rFonts w:asciiTheme="minorEastAsia" w:hAnsiTheme="minorEastAsia" w:cs="Times New Roman" w:hint="eastAsia"/>
          <w:bCs/>
          <w:kern w:val="44"/>
          <w:sz w:val="32"/>
          <w:szCs w:val="32"/>
        </w:rPr>
        <w:t>拨款</w:t>
      </w:r>
      <w:r w:rsidRPr="00E87D90">
        <w:rPr>
          <w:rFonts w:asciiTheme="minorEastAsia" w:hAnsiTheme="minorEastAsia" w:cs="Times New Roman" w:hint="eastAsia"/>
          <w:bCs/>
          <w:kern w:val="44"/>
          <w:sz w:val="32"/>
          <w:szCs w:val="32"/>
        </w:rPr>
        <w:t>收入</w:t>
      </w:r>
      <w:r w:rsidR="00593535" w:rsidRPr="00E87D90">
        <w:rPr>
          <w:rFonts w:asciiTheme="minorEastAsia" w:hAnsiTheme="minorEastAsia" w:cs="Times New Roman" w:hint="eastAsia"/>
          <w:bCs/>
          <w:kern w:val="44"/>
          <w:sz w:val="32"/>
          <w:szCs w:val="32"/>
        </w:rPr>
        <w:t>增加</w:t>
      </w:r>
      <w:r w:rsidR="00593535" w:rsidRPr="00E87D90">
        <w:rPr>
          <w:rFonts w:asciiTheme="minorEastAsia" w:hAnsiTheme="minorEastAsia" w:cs="Times New Roman"/>
          <w:bCs/>
          <w:kern w:val="44"/>
          <w:sz w:val="32"/>
          <w:szCs w:val="32"/>
        </w:rPr>
        <w:t>1,817.52</w:t>
      </w:r>
      <w:r w:rsidRPr="00E87D90">
        <w:rPr>
          <w:rFonts w:asciiTheme="minorEastAsia" w:hAnsiTheme="minorEastAsia" w:cs="Times New Roman" w:hint="eastAsia"/>
          <w:bCs/>
          <w:kern w:val="44"/>
          <w:sz w:val="32"/>
          <w:szCs w:val="32"/>
        </w:rPr>
        <w:t>万元，事业收入</w:t>
      </w:r>
      <w:r w:rsidR="001B28ED" w:rsidRPr="00E87D90">
        <w:rPr>
          <w:rFonts w:asciiTheme="minorEastAsia" w:hAnsiTheme="minorEastAsia" w:cs="Times New Roman" w:hint="eastAsia"/>
          <w:bCs/>
          <w:kern w:val="44"/>
          <w:sz w:val="32"/>
          <w:szCs w:val="32"/>
        </w:rPr>
        <w:t>增加</w:t>
      </w:r>
      <w:r w:rsidR="00393025" w:rsidRPr="00E87D90">
        <w:rPr>
          <w:rFonts w:asciiTheme="minorEastAsia" w:hAnsiTheme="minorEastAsia" w:cs="Times New Roman" w:hint="eastAsia"/>
          <w:bCs/>
          <w:kern w:val="44"/>
          <w:sz w:val="32"/>
          <w:szCs w:val="32"/>
        </w:rPr>
        <w:t>10，911.12</w:t>
      </w:r>
      <w:r w:rsidRPr="00E87D90">
        <w:rPr>
          <w:rFonts w:asciiTheme="minorEastAsia" w:hAnsiTheme="minorEastAsia" w:cs="Times New Roman" w:hint="eastAsia"/>
          <w:bCs/>
          <w:kern w:val="44"/>
          <w:sz w:val="32"/>
          <w:szCs w:val="32"/>
        </w:rPr>
        <w:t>万元，其他收入</w:t>
      </w:r>
      <w:r w:rsidR="00593535" w:rsidRPr="00E87D90">
        <w:rPr>
          <w:rFonts w:asciiTheme="minorEastAsia" w:hAnsiTheme="minorEastAsia" w:cs="Times New Roman" w:hint="eastAsia"/>
          <w:bCs/>
          <w:kern w:val="44"/>
          <w:sz w:val="32"/>
          <w:szCs w:val="32"/>
        </w:rPr>
        <w:t>减少</w:t>
      </w:r>
      <w:r w:rsidR="00593535" w:rsidRPr="00E87D90">
        <w:rPr>
          <w:rFonts w:asciiTheme="minorEastAsia" w:hAnsiTheme="minorEastAsia" w:cs="Tahoma"/>
          <w:color w:val="000000"/>
          <w:kern w:val="0"/>
          <w:sz w:val="32"/>
          <w:szCs w:val="32"/>
        </w:rPr>
        <w:t>2,060.18</w:t>
      </w:r>
      <w:r w:rsidRPr="00E87D90">
        <w:rPr>
          <w:rFonts w:asciiTheme="minorEastAsia" w:hAnsiTheme="minorEastAsia" w:cs="Times New Roman" w:hint="eastAsia"/>
          <w:bCs/>
          <w:kern w:val="44"/>
          <w:sz w:val="32"/>
          <w:szCs w:val="32"/>
        </w:rPr>
        <w:t>万元，经营收入减少</w:t>
      </w:r>
      <w:r w:rsidR="00593535" w:rsidRPr="00E87D90">
        <w:rPr>
          <w:rFonts w:asciiTheme="minorEastAsia" w:hAnsiTheme="minorEastAsia" w:cs="Tahoma"/>
          <w:color w:val="000000"/>
          <w:kern w:val="0"/>
          <w:sz w:val="32"/>
          <w:szCs w:val="32"/>
        </w:rPr>
        <w:t>96.90</w:t>
      </w:r>
      <w:r w:rsidRPr="00E87D90">
        <w:rPr>
          <w:rFonts w:asciiTheme="minorEastAsia" w:hAnsiTheme="minorEastAsia" w:cs="Times New Roman" w:hint="eastAsia"/>
          <w:bCs/>
          <w:kern w:val="44"/>
          <w:sz w:val="32"/>
          <w:szCs w:val="32"/>
        </w:rPr>
        <w:t>万元。</w:t>
      </w:r>
    </w:p>
    <w:p w:rsidR="004E5A3E" w:rsidRPr="00E87D90" w:rsidRDefault="004E5A3E" w:rsidP="004E5A3E">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增加的主要原因：一是财政拨款收入有所增加，主要是2017年年中追加离退休人员经费、博士生国家助学金、退休人员基本养老金；改善基本办学条件经费、教育教学改革经费、基本科研业务费、捐赠配比等专项拨款有所增加。二是事业收入增加，主要是函授、夜大及短训班培训费增幅较大导致教育事业收入增加，纵向课题和横向课题收入均有所增加导致科研事业收入增加。</w:t>
      </w:r>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4E5A3E" w:rsidRPr="00E87D90">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年支出总计</w:t>
      </w:r>
      <w:r w:rsidR="00820ED3" w:rsidRPr="00E87D90">
        <w:rPr>
          <w:rFonts w:asciiTheme="minorEastAsia" w:hAnsiTheme="minorEastAsia" w:cs="Times New Roman"/>
          <w:bCs/>
          <w:kern w:val="44"/>
          <w:sz w:val="32"/>
          <w:szCs w:val="32"/>
        </w:rPr>
        <w:t>121,035.21</w:t>
      </w:r>
      <w:r w:rsidR="003A11BB" w:rsidRPr="00E87D90">
        <w:rPr>
          <w:rFonts w:asciiTheme="minorEastAsia" w:hAnsiTheme="minorEastAsia" w:cs="Times New Roman" w:hint="eastAsia"/>
          <w:bCs/>
          <w:kern w:val="44"/>
          <w:sz w:val="32"/>
          <w:szCs w:val="32"/>
        </w:rPr>
        <w:t>万元，较</w:t>
      </w:r>
      <w:r w:rsidR="00820ED3" w:rsidRPr="00E87D90">
        <w:rPr>
          <w:rFonts w:asciiTheme="minorEastAsia" w:hAnsiTheme="minorEastAsia" w:cs="Times New Roman" w:hint="eastAsia"/>
          <w:bCs/>
          <w:kern w:val="44"/>
          <w:sz w:val="32"/>
          <w:szCs w:val="32"/>
        </w:rPr>
        <w:t>2016</w:t>
      </w:r>
      <w:r w:rsidR="003A11BB" w:rsidRPr="00E87D90">
        <w:rPr>
          <w:rFonts w:asciiTheme="minorEastAsia" w:hAnsiTheme="minorEastAsia" w:cs="Times New Roman" w:hint="eastAsia"/>
          <w:bCs/>
          <w:kern w:val="44"/>
          <w:sz w:val="32"/>
          <w:szCs w:val="32"/>
        </w:rPr>
        <w:t>年</w:t>
      </w:r>
      <w:r w:rsidR="00820ED3" w:rsidRPr="00E87D90">
        <w:rPr>
          <w:rFonts w:asciiTheme="minorEastAsia" w:hAnsiTheme="minorEastAsia" w:cs="Times New Roman"/>
          <w:bCs/>
          <w:kern w:val="44"/>
          <w:sz w:val="32"/>
          <w:szCs w:val="32"/>
        </w:rPr>
        <w:t>104,696.17</w:t>
      </w:r>
      <w:r w:rsidR="003A11BB" w:rsidRPr="00E87D90">
        <w:rPr>
          <w:rFonts w:asciiTheme="minorEastAsia" w:hAnsiTheme="minorEastAsia" w:cs="Times New Roman" w:hint="eastAsia"/>
          <w:bCs/>
          <w:kern w:val="44"/>
          <w:sz w:val="32"/>
          <w:szCs w:val="32"/>
        </w:rPr>
        <w:t>万元</w:t>
      </w:r>
      <w:r w:rsidRPr="00E87D90">
        <w:rPr>
          <w:rFonts w:asciiTheme="minorEastAsia" w:hAnsiTheme="minorEastAsia" w:cs="Times New Roman" w:hint="eastAsia"/>
          <w:bCs/>
          <w:kern w:val="44"/>
          <w:sz w:val="32"/>
          <w:szCs w:val="32"/>
        </w:rPr>
        <w:t>增加</w:t>
      </w:r>
      <w:r w:rsidR="00820ED3" w:rsidRPr="00E87D90">
        <w:rPr>
          <w:rFonts w:asciiTheme="minorEastAsia" w:hAnsiTheme="minorEastAsia" w:cs="Times New Roman"/>
          <w:bCs/>
          <w:kern w:val="44"/>
          <w:sz w:val="32"/>
          <w:szCs w:val="32"/>
        </w:rPr>
        <w:t>16,339.04</w:t>
      </w:r>
      <w:r w:rsidRPr="00E87D90">
        <w:rPr>
          <w:rFonts w:asciiTheme="minorEastAsia" w:hAnsiTheme="minorEastAsia" w:cs="Times New Roman" w:hint="eastAsia"/>
          <w:bCs/>
          <w:kern w:val="44"/>
          <w:sz w:val="32"/>
          <w:szCs w:val="32"/>
        </w:rPr>
        <w:t>万元，增长</w:t>
      </w:r>
      <w:r w:rsidR="00820ED3" w:rsidRPr="00E87D90">
        <w:rPr>
          <w:rFonts w:asciiTheme="minorEastAsia" w:hAnsiTheme="minorEastAsia" w:cs="Times New Roman"/>
          <w:bCs/>
          <w:kern w:val="44"/>
          <w:sz w:val="32"/>
          <w:szCs w:val="32"/>
        </w:rPr>
        <w:t>15.61%</w:t>
      </w:r>
      <w:r w:rsidRPr="00E87D90">
        <w:rPr>
          <w:rFonts w:asciiTheme="minorEastAsia" w:hAnsiTheme="minorEastAsia" w:cs="Times New Roman" w:hint="eastAsia"/>
          <w:bCs/>
          <w:kern w:val="44"/>
          <w:sz w:val="32"/>
          <w:szCs w:val="32"/>
        </w:rPr>
        <w:t>。其中：一般公共服务支出</w:t>
      </w:r>
      <w:r w:rsidR="00820ED3" w:rsidRPr="00E87D90">
        <w:rPr>
          <w:rFonts w:asciiTheme="minorEastAsia" w:hAnsiTheme="minorEastAsia" w:cs="Times New Roman"/>
          <w:bCs/>
          <w:kern w:val="44"/>
          <w:sz w:val="32"/>
          <w:szCs w:val="32"/>
        </w:rPr>
        <w:t>50.22</w:t>
      </w:r>
      <w:r w:rsidRPr="00E87D90">
        <w:rPr>
          <w:rFonts w:asciiTheme="minorEastAsia" w:hAnsiTheme="minorEastAsia" w:cs="Times New Roman" w:hint="eastAsia"/>
          <w:bCs/>
          <w:kern w:val="44"/>
          <w:sz w:val="32"/>
          <w:szCs w:val="32"/>
        </w:rPr>
        <w:t>万元，教育支出</w:t>
      </w:r>
      <w:r w:rsidR="00820ED3" w:rsidRPr="00E87D90">
        <w:rPr>
          <w:rFonts w:asciiTheme="minorEastAsia" w:hAnsiTheme="minorEastAsia" w:cs="Times New Roman"/>
          <w:bCs/>
          <w:kern w:val="44"/>
          <w:sz w:val="32"/>
          <w:szCs w:val="32"/>
        </w:rPr>
        <w:t>115,457.21</w:t>
      </w:r>
      <w:r w:rsidRPr="00E87D90">
        <w:rPr>
          <w:rFonts w:asciiTheme="minorEastAsia" w:hAnsiTheme="minorEastAsia" w:cs="Times New Roman" w:hint="eastAsia"/>
          <w:bCs/>
          <w:kern w:val="44"/>
          <w:sz w:val="32"/>
          <w:szCs w:val="32"/>
        </w:rPr>
        <w:t>万元，科学技术支出</w:t>
      </w:r>
      <w:r w:rsidR="00820ED3" w:rsidRPr="00E87D90">
        <w:rPr>
          <w:rFonts w:asciiTheme="minorEastAsia" w:hAnsiTheme="minorEastAsia" w:cs="Times New Roman"/>
          <w:bCs/>
          <w:kern w:val="44"/>
          <w:sz w:val="32"/>
          <w:szCs w:val="32"/>
        </w:rPr>
        <w:t>55.59</w:t>
      </w:r>
      <w:r w:rsidRPr="00E87D90">
        <w:rPr>
          <w:rFonts w:asciiTheme="minorEastAsia" w:hAnsiTheme="minorEastAsia" w:cs="Times New Roman" w:hint="eastAsia"/>
          <w:bCs/>
          <w:kern w:val="44"/>
          <w:sz w:val="32"/>
          <w:szCs w:val="32"/>
        </w:rPr>
        <w:t>万元，住房保障支出</w:t>
      </w:r>
      <w:r w:rsidR="00820ED3" w:rsidRPr="00E87D90">
        <w:rPr>
          <w:rFonts w:asciiTheme="minorEastAsia" w:hAnsiTheme="minorEastAsia" w:cs="Times New Roman"/>
          <w:bCs/>
          <w:kern w:val="44"/>
          <w:sz w:val="32"/>
          <w:szCs w:val="32"/>
        </w:rPr>
        <w:t>5,472.19</w:t>
      </w:r>
      <w:r w:rsidRPr="00E87D90">
        <w:rPr>
          <w:rFonts w:asciiTheme="minorEastAsia" w:hAnsiTheme="minorEastAsia" w:cs="Times New Roman" w:hint="eastAsia"/>
          <w:bCs/>
          <w:kern w:val="44"/>
          <w:sz w:val="32"/>
          <w:szCs w:val="32"/>
        </w:rPr>
        <w:t>万元。增加的主要原因是：</w:t>
      </w:r>
      <w:r w:rsidR="00F12EC5" w:rsidRPr="00E87D90">
        <w:rPr>
          <w:rFonts w:asciiTheme="minorEastAsia" w:hAnsiTheme="minorEastAsia" w:cs="Times New Roman" w:hint="eastAsia"/>
          <w:bCs/>
          <w:kern w:val="44"/>
          <w:sz w:val="32"/>
          <w:szCs w:val="32"/>
        </w:rPr>
        <w:t>学校2017年在“全力保障学校中心工作、有序推进养老保险改革、进一步改善办学条件、继续压</w:t>
      </w:r>
      <w:r w:rsidR="00F12EC5" w:rsidRPr="00E87D90">
        <w:rPr>
          <w:rFonts w:asciiTheme="minorEastAsia" w:hAnsiTheme="minorEastAsia" w:cs="Times New Roman" w:hint="eastAsia"/>
          <w:bCs/>
          <w:kern w:val="44"/>
          <w:sz w:val="32"/>
          <w:szCs w:val="32"/>
        </w:rPr>
        <w:lastRenderedPageBreak/>
        <w:t>缩消费性支出”的支出预算工作宗旨下，学校离退休人员工资福利较上年增幅较大，公用支出中校内维修改造有所增长。</w:t>
      </w:r>
      <w:r w:rsidR="00F12EC5" w:rsidRPr="00E87D90">
        <w:rPr>
          <w:rFonts w:asciiTheme="minorEastAsia" w:hAnsiTheme="minorEastAsia" w:cs="Times New Roman"/>
          <w:bCs/>
          <w:kern w:val="44"/>
          <w:sz w:val="32"/>
          <w:szCs w:val="32"/>
        </w:rPr>
        <w:t xml:space="preserve"> </w:t>
      </w:r>
    </w:p>
    <w:p w:rsidR="00150250" w:rsidRPr="00E87D90" w:rsidRDefault="00150250" w:rsidP="001910F3">
      <w:pPr>
        <w:pStyle w:val="2"/>
        <w:ind w:firstLineChars="200" w:firstLine="641"/>
        <w:rPr>
          <w:rFonts w:asciiTheme="minorEastAsia" w:eastAsiaTheme="minorEastAsia" w:hAnsiTheme="minorEastAsia" w:cs="Times New Roman"/>
          <w:bCs w:val="0"/>
          <w:kern w:val="44"/>
        </w:rPr>
      </w:pPr>
      <w:bookmarkStart w:id="11" w:name="_Toc520369784"/>
      <w:r w:rsidRPr="00E87D90">
        <w:rPr>
          <w:rFonts w:ascii="Times New Roman" w:eastAsia="华文楷体" w:hAnsi="华文楷体" w:cs="Times New Roman" w:hint="eastAsia"/>
        </w:rPr>
        <w:t>（二）高等学校收入决算表说明</w:t>
      </w:r>
      <w:bookmarkEnd w:id="11"/>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A5649A" w:rsidRPr="00E87D90">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年收入总计</w:t>
      </w:r>
      <w:r w:rsidR="00A5649A" w:rsidRPr="00E87D90">
        <w:rPr>
          <w:rFonts w:asciiTheme="minorEastAsia" w:hAnsiTheme="minorEastAsia" w:cs="Times New Roman"/>
          <w:bCs/>
          <w:kern w:val="44"/>
          <w:sz w:val="32"/>
          <w:szCs w:val="32"/>
        </w:rPr>
        <w:t>119,223.09</w:t>
      </w:r>
      <w:r w:rsidRPr="00E87D90">
        <w:rPr>
          <w:rFonts w:asciiTheme="minorEastAsia" w:hAnsiTheme="minorEastAsia" w:cs="Times New Roman" w:hint="eastAsia"/>
          <w:bCs/>
          <w:kern w:val="44"/>
          <w:sz w:val="32"/>
          <w:szCs w:val="32"/>
        </w:rPr>
        <w:t>万元，财政</w:t>
      </w:r>
      <w:r w:rsidR="00D83976" w:rsidRPr="00E87D90">
        <w:rPr>
          <w:rFonts w:asciiTheme="minorEastAsia" w:hAnsiTheme="minorEastAsia" w:cs="Times New Roman" w:hint="eastAsia"/>
          <w:bCs/>
          <w:kern w:val="44"/>
          <w:sz w:val="32"/>
          <w:szCs w:val="32"/>
        </w:rPr>
        <w:t>拨款</w:t>
      </w:r>
      <w:r w:rsidRPr="00E87D90">
        <w:rPr>
          <w:rFonts w:asciiTheme="minorEastAsia" w:hAnsiTheme="minorEastAsia" w:cs="Times New Roman" w:hint="eastAsia"/>
          <w:bCs/>
          <w:kern w:val="44"/>
          <w:sz w:val="32"/>
          <w:szCs w:val="32"/>
        </w:rPr>
        <w:t>收入</w:t>
      </w:r>
      <w:r w:rsidR="00A5649A" w:rsidRPr="00E87D90">
        <w:rPr>
          <w:rFonts w:asciiTheme="minorEastAsia" w:hAnsiTheme="minorEastAsia" w:cs="Times New Roman"/>
          <w:bCs/>
          <w:kern w:val="44"/>
          <w:sz w:val="32"/>
          <w:szCs w:val="32"/>
        </w:rPr>
        <w:t>69,350.69</w:t>
      </w:r>
      <w:r w:rsidRPr="00E87D90">
        <w:rPr>
          <w:rFonts w:asciiTheme="minorEastAsia" w:hAnsiTheme="minorEastAsia" w:cs="Times New Roman" w:hint="eastAsia"/>
          <w:bCs/>
          <w:kern w:val="44"/>
          <w:sz w:val="32"/>
          <w:szCs w:val="32"/>
        </w:rPr>
        <w:t>万元，占总收入的</w:t>
      </w:r>
      <w:r w:rsidR="00A5649A" w:rsidRPr="00E87D90">
        <w:rPr>
          <w:rFonts w:ascii="宋体" w:hAnsi="宋体" w:cs="Tahoma"/>
          <w:color w:val="000000"/>
          <w:kern w:val="0"/>
          <w:sz w:val="32"/>
          <w:szCs w:val="32"/>
        </w:rPr>
        <w:t>58.17%</w:t>
      </w:r>
      <w:r w:rsidRPr="00E87D90">
        <w:rPr>
          <w:rFonts w:asciiTheme="minorEastAsia" w:hAnsiTheme="minorEastAsia" w:cs="Times New Roman" w:hint="eastAsia"/>
          <w:bCs/>
          <w:kern w:val="44"/>
          <w:sz w:val="32"/>
          <w:szCs w:val="32"/>
        </w:rPr>
        <w:t>；事业收入</w:t>
      </w:r>
      <w:r w:rsidR="00A5649A" w:rsidRPr="00E87D90">
        <w:rPr>
          <w:rFonts w:ascii="宋体" w:hAnsi="宋体" w:cs="Tahoma"/>
          <w:color w:val="000000"/>
          <w:kern w:val="0"/>
          <w:sz w:val="32"/>
          <w:szCs w:val="32"/>
        </w:rPr>
        <w:t>40,372.28</w:t>
      </w:r>
      <w:r w:rsidRPr="00E87D90">
        <w:rPr>
          <w:rFonts w:asciiTheme="minorEastAsia" w:hAnsiTheme="minorEastAsia" w:cs="Times New Roman" w:hint="eastAsia"/>
          <w:bCs/>
          <w:kern w:val="44"/>
          <w:sz w:val="32"/>
          <w:szCs w:val="32"/>
        </w:rPr>
        <w:t>万元，占总收入的</w:t>
      </w:r>
      <w:r w:rsidR="00A5649A" w:rsidRPr="00E87D90">
        <w:rPr>
          <w:rFonts w:ascii="宋体" w:hAnsi="宋体" w:cs="Tahoma"/>
          <w:color w:val="000000"/>
          <w:kern w:val="0"/>
          <w:sz w:val="32"/>
          <w:szCs w:val="32"/>
        </w:rPr>
        <w:t>33.86%</w:t>
      </w:r>
      <w:r w:rsidRPr="00E87D90">
        <w:rPr>
          <w:rFonts w:asciiTheme="minorEastAsia" w:hAnsiTheme="minorEastAsia" w:cs="Times New Roman" w:hint="eastAsia"/>
          <w:bCs/>
          <w:kern w:val="44"/>
          <w:sz w:val="32"/>
          <w:szCs w:val="32"/>
        </w:rPr>
        <w:t>；其他收入</w:t>
      </w:r>
      <w:r w:rsidR="00A5649A" w:rsidRPr="00E87D90">
        <w:rPr>
          <w:rFonts w:ascii="宋体" w:hAnsi="宋体" w:cs="Tahoma"/>
          <w:color w:val="000000"/>
          <w:kern w:val="0"/>
          <w:sz w:val="32"/>
          <w:szCs w:val="32"/>
        </w:rPr>
        <w:t>8,730.45</w:t>
      </w:r>
      <w:r w:rsidRPr="00E87D90">
        <w:rPr>
          <w:rFonts w:asciiTheme="minorEastAsia" w:hAnsiTheme="minorEastAsia" w:cs="Times New Roman" w:hint="eastAsia"/>
          <w:bCs/>
          <w:kern w:val="44"/>
          <w:sz w:val="32"/>
          <w:szCs w:val="32"/>
        </w:rPr>
        <w:t>万元，占总收入的</w:t>
      </w:r>
      <w:r w:rsidR="00A5649A" w:rsidRPr="00E87D90">
        <w:rPr>
          <w:rFonts w:ascii="宋体" w:hAnsi="宋体" w:cs="Tahoma"/>
          <w:color w:val="000000"/>
          <w:kern w:val="0"/>
          <w:sz w:val="32"/>
          <w:szCs w:val="32"/>
        </w:rPr>
        <w:t>7.32%</w:t>
      </w:r>
      <w:r w:rsidRPr="00E87D90">
        <w:rPr>
          <w:rFonts w:asciiTheme="minorEastAsia" w:hAnsiTheme="minorEastAsia" w:cs="Times New Roman" w:hint="eastAsia"/>
          <w:bCs/>
          <w:kern w:val="44"/>
          <w:sz w:val="32"/>
          <w:szCs w:val="32"/>
        </w:rPr>
        <w:t>；经营收入</w:t>
      </w:r>
      <w:r w:rsidR="00A5649A" w:rsidRPr="00E87D90">
        <w:rPr>
          <w:rFonts w:ascii="宋体" w:hAnsi="宋体" w:cs="Tahoma"/>
          <w:color w:val="000000"/>
          <w:kern w:val="0"/>
          <w:sz w:val="32"/>
          <w:szCs w:val="32"/>
        </w:rPr>
        <w:t>769.68</w:t>
      </w:r>
      <w:r w:rsidRPr="00E87D90">
        <w:rPr>
          <w:rFonts w:asciiTheme="minorEastAsia" w:hAnsiTheme="minorEastAsia" w:cs="Times New Roman" w:hint="eastAsia"/>
          <w:bCs/>
          <w:kern w:val="44"/>
          <w:sz w:val="32"/>
          <w:szCs w:val="32"/>
        </w:rPr>
        <w:t>万元，占总收入的</w:t>
      </w:r>
      <w:r w:rsidR="00A5649A" w:rsidRPr="00E87D90">
        <w:rPr>
          <w:rFonts w:ascii="宋体" w:hAnsi="宋体" w:cs="Tahoma"/>
          <w:color w:val="000000"/>
          <w:kern w:val="0"/>
          <w:sz w:val="32"/>
          <w:szCs w:val="32"/>
        </w:rPr>
        <w:t>0.65%</w:t>
      </w:r>
      <w:r w:rsidRPr="00E87D90">
        <w:rPr>
          <w:rFonts w:asciiTheme="minorEastAsia" w:hAnsiTheme="minorEastAsia" w:cs="Times New Roman" w:hint="eastAsia"/>
          <w:bCs/>
          <w:kern w:val="44"/>
          <w:sz w:val="32"/>
          <w:szCs w:val="32"/>
        </w:rPr>
        <w:t>。</w:t>
      </w:r>
    </w:p>
    <w:p w:rsidR="00150250" w:rsidRPr="00E87D90" w:rsidRDefault="00150250" w:rsidP="001910F3">
      <w:pPr>
        <w:pStyle w:val="2"/>
        <w:ind w:firstLineChars="200" w:firstLine="641"/>
        <w:rPr>
          <w:rFonts w:asciiTheme="minorEastAsia" w:eastAsiaTheme="minorEastAsia" w:hAnsiTheme="minorEastAsia" w:cs="Times New Roman"/>
          <w:bCs w:val="0"/>
          <w:kern w:val="44"/>
        </w:rPr>
      </w:pPr>
      <w:bookmarkStart w:id="12" w:name="_Toc520369785"/>
      <w:r w:rsidRPr="00E87D90">
        <w:rPr>
          <w:rFonts w:ascii="Times New Roman" w:eastAsia="华文楷体" w:hAnsi="华文楷体" w:cs="Times New Roman" w:hint="eastAsia"/>
        </w:rPr>
        <w:t>（三）高等学校支出决算表说明</w:t>
      </w:r>
      <w:bookmarkEnd w:id="12"/>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531F34" w:rsidRPr="00E87D90">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年各项支出总计</w:t>
      </w:r>
      <w:r w:rsidR="00531F34" w:rsidRPr="00E87D90">
        <w:rPr>
          <w:rFonts w:asciiTheme="minorEastAsia" w:hAnsiTheme="minorEastAsia"/>
          <w:sz w:val="32"/>
          <w:szCs w:val="32"/>
        </w:rPr>
        <w:t>121,035.21</w:t>
      </w:r>
      <w:r w:rsidRPr="00E87D90">
        <w:rPr>
          <w:rFonts w:asciiTheme="minorEastAsia" w:hAnsiTheme="minorEastAsia" w:cs="Times New Roman" w:hint="eastAsia"/>
          <w:bCs/>
          <w:kern w:val="44"/>
          <w:sz w:val="32"/>
          <w:szCs w:val="32"/>
        </w:rPr>
        <w:t>万元，其中基本支出</w:t>
      </w:r>
      <w:r w:rsidR="00531F34" w:rsidRPr="00E87D90">
        <w:rPr>
          <w:rFonts w:asciiTheme="minorEastAsia" w:hAnsiTheme="minorEastAsia" w:cs="Times New Roman"/>
          <w:bCs/>
          <w:kern w:val="44"/>
          <w:sz w:val="32"/>
          <w:szCs w:val="32"/>
        </w:rPr>
        <w:t>95,016.19</w:t>
      </w:r>
      <w:r w:rsidRPr="00E87D90">
        <w:rPr>
          <w:rFonts w:asciiTheme="minorEastAsia" w:hAnsiTheme="minorEastAsia" w:cs="Times New Roman" w:hint="eastAsia"/>
          <w:bCs/>
          <w:kern w:val="44"/>
          <w:sz w:val="32"/>
          <w:szCs w:val="32"/>
        </w:rPr>
        <w:t>万元，占总支出的</w:t>
      </w:r>
      <w:r w:rsidR="00531F34" w:rsidRPr="00E87D90">
        <w:rPr>
          <w:rFonts w:asciiTheme="minorEastAsia" w:hAnsiTheme="minorEastAsia" w:cs="Times New Roman"/>
          <w:bCs/>
          <w:kern w:val="44"/>
          <w:sz w:val="32"/>
          <w:szCs w:val="32"/>
        </w:rPr>
        <w:t>78.50%</w:t>
      </w:r>
      <w:r w:rsidRPr="00E87D90">
        <w:rPr>
          <w:rFonts w:asciiTheme="minorEastAsia" w:hAnsiTheme="minorEastAsia" w:cs="Times New Roman" w:hint="eastAsia"/>
          <w:bCs/>
          <w:kern w:val="44"/>
          <w:sz w:val="32"/>
          <w:szCs w:val="32"/>
        </w:rPr>
        <w:t>；项目支出</w:t>
      </w:r>
      <w:r w:rsidR="00531F34" w:rsidRPr="00E87D90">
        <w:rPr>
          <w:rFonts w:asciiTheme="minorEastAsia" w:hAnsiTheme="minorEastAsia" w:cs="Times New Roman"/>
          <w:bCs/>
          <w:kern w:val="44"/>
          <w:sz w:val="32"/>
          <w:szCs w:val="32"/>
        </w:rPr>
        <w:t>25,065.11</w:t>
      </w:r>
      <w:r w:rsidRPr="00E87D90">
        <w:rPr>
          <w:rFonts w:asciiTheme="minorEastAsia" w:hAnsiTheme="minorEastAsia" w:cs="Times New Roman" w:hint="eastAsia"/>
          <w:bCs/>
          <w:kern w:val="44"/>
          <w:sz w:val="32"/>
          <w:szCs w:val="32"/>
        </w:rPr>
        <w:t>万元，占总支出的</w:t>
      </w:r>
      <w:r w:rsidR="00531F34" w:rsidRPr="00E87D90">
        <w:rPr>
          <w:rFonts w:asciiTheme="minorEastAsia" w:hAnsiTheme="minorEastAsia" w:cs="Times New Roman"/>
          <w:bCs/>
          <w:kern w:val="44"/>
          <w:sz w:val="32"/>
          <w:szCs w:val="32"/>
        </w:rPr>
        <w:t>20.71%</w:t>
      </w:r>
      <w:r w:rsidRPr="00E87D90">
        <w:rPr>
          <w:rFonts w:asciiTheme="minorEastAsia" w:hAnsiTheme="minorEastAsia" w:cs="Times New Roman" w:hint="eastAsia"/>
          <w:bCs/>
          <w:kern w:val="44"/>
          <w:sz w:val="32"/>
          <w:szCs w:val="32"/>
        </w:rPr>
        <w:t>；经营支出</w:t>
      </w:r>
      <w:r w:rsidR="00531F34" w:rsidRPr="00E87D90">
        <w:rPr>
          <w:rFonts w:asciiTheme="minorEastAsia" w:hAnsiTheme="minorEastAsia" w:cs="Times New Roman"/>
          <w:bCs/>
          <w:kern w:val="44"/>
          <w:sz w:val="32"/>
          <w:szCs w:val="32"/>
        </w:rPr>
        <w:t>953.92</w:t>
      </w:r>
      <w:r w:rsidRPr="00E87D90">
        <w:rPr>
          <w:rFonts w:asciiTheme="minorEastAsia" w:hAnsiTheme="minorEastAsia" w:cs="Times New Roman" w:hint="eastAsia"/>
          <w:bCs/>
          <w:kern w:val="44"/>
          <w:sz w:val="32"/>
          <w:szCs w:val="32"/>
        </w:rPr>
        <w:t>万元，占总支出的</w:t>
      </w:r>
      <w:r w:rsidR="00531F34" w:rsidRPr="00E87D90">
        <w:rPr>
          <w:rFonts w:asciiTheme="minorEastAsia" w:hAnsiTheme="minorEastAsia" w:cs="Times New Roman"/>
          <w:bCs/>
          <w:kern w:val="44"/>
          <w:sz w:val="32"/>
          <w:szCs w:val="32"/>
        </w:rPr>
        <w:t>0.79%</w:t>
      </w:r>
      <w:r w:rsidRPr="00E87D90">
        <w:rPr>
          <w:rFonts w:asciiTheme="minorEastAsia" w:hAnsiTheme="minorEastAsia" w:cs="Times New Roman" w:hint="eastAsia"/>
          <w:bCs/>
          <w:kern w:val="44"/>
          <w:sz w:val="32"/>
          <w:szCs w:val="32"/>
        </w:rPr>
        <w:t>。</w:t>
      </w:r>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按照支出功能科目划分，一般公共服务支出</w:t>
      </w:r>
      <w:r w:rsidR="00333C33" w:rsidRPr="00E87D90">
        <w:rPr>
          <w:rFonts w:asciiTheme="minorEastAsia" w:hAnsiTheme="minorEastAsia" w:cs="Times New Roman"/>
          <w:bCs/>
          <w:kern w:val="44"/>
          <w:sz w:val="32"/>
          <w:szCs w:val="32"/>
        </w:rPr>
        <w:t>50.22</w:t>
      </w:r>
      <w:r w:rsidRPr="00E87D90">
        <w:rPr>
          <w:rFonts w:asciiTheme="minorEastAsia" w:hAnsiTheme="minorEastAsia" w:cs="Times New Roman" w:hint="eastAsia"/>
          <w:bCs/>
          <w:kern w:val="44"/>
          <w:sz w:val="32"/>
          <w:szCs w:val="32"/>
        </w:rPr>
        <w:t>万元，占总支出的</w:t>
      </w:r>
      <w:r w:rsidR="00333C33" w:rsidRPr="00E87D90">
        <w:rPr>
          <w:rFonts w:asciiTheme="minorEastAsia" w:hAnsiTheme="minorEastAsia" w:cs="Times New Roman"/>
          <w:bCs/>
          <w:kern w:val="44"/>
          <w:sz w:val="32"/>
          <w:szCs w:val="32"/>
        </w:rPr>
        <w:t>0.04%</w:t>
      </w:r>
      <w:r w:rsidRPr="00E87D90">
        <w:rPr>
          <w:rFonts w:asciiTheme="minorEastAsia" w:hAnsiTheme="minorEastAsia" w:cs="Times New Roman" w:hint="eastAsia"/>
          <w:bCs/>
          <w:kern w:val="44"/>
          <w:sz w:val="32"/>
          <w:szCs w:val="32"/>
        </w:rPr>
        <w:t>；教育支出</w:t>
      </w:r>
      <w:r w:rsidR="00333C33" w:rsidRPr="00E87D90">
        <w:rPr>
          <w:rFonts w:asciiTheme="minorEastAsia" w:hAnsiTheme="minorEastAsia" w:cs="Times New Roman"/>
          <w:bCs/>
          <w:kern w:val="44"/>
          <w:sz w:val="32"/>
          <w:szCs w:val="32"/>
        </w:rPr>
        <w:t>115,457.21</w:t>
      </w:r>
      <w:r w:rsidRPr="00E87D90">
        <w:rPr>
          <w:rFonts w:asciiTheme="minorEastAsia" w:hAnsiTheme="minorEastAsia" w:cs="Times New Roman" w:hint="eastAsia"/>
          <w:bCs/>
          <w:kern w:val="44"/>
          <w:sz w:val="32"/>
          <w:szCs w:val="32"/>
        </w:rPr>
        <w:t>万元，占总支出的</w:t>
      </w:r>
      <w:r w:rsidR="00333C33" w:rsidRPr="00E87D90">
        <w:rPr>
          <w:rFonts w:asciiTheme="minorEastAsia" w:hAnsiTheme="minorEastAsia" w:cs="Times New Roman"/>
          <w:bCs/>
          <w:kern w:val="44"/>
          <w:sz w:val="32"/>
          <w:szCs w:val="32"/>
        </w:rPr>
        <w:t>95.39%</w:t>
      </w:r>
      <w:r w:rsidRPr="00E87D90">
        <w:rPr>
          <w:rFonts w:asciiTheme="minorEastAsia" w:hAnsiTheme="minorEastAsia" w:cs="Times New Roman" w:hint="eastAsia"/>
          <w:bCs/>
          <w:kern w:val="44"/>
          <w:sz w:val="32"/>
          <w:szCs w:val="32"/>
        </w:rPr>
        <w:t>；科学技术支出</w:t>
      </w:r>
      <w:r w:rsidR="00333C33" w:rsidRPr="00E87D90">
        <w:rPr>
          <w:rFonts w:asciiTheme="minorEastAsia" w:hAnsiTheme="minorEastAsia" w:cs="Times New Roman"/>
          <w:bCs/>
          <w:kern w:val="44"/>
          <w:sz w:val="32"/>
          <w:szCs w:val="32"/>
        </w:rPr>
        <w:t>55.59</w:t>
      </w:r>
      <w:r w:rsidRPr="00E87D90">
        <w:rPr>
          <w:rFonts w:asciiTheme="minorEastAsia" w:hAnsiTheme="minorEastAsia" w:cs="Times New Roman" w:hint="eastAsia"/>
          <w:bCs/>
          <w:kern w:val="44"/>
          <w:sz w:val="32"/>
          <w:szCs w:val="32"/>
        </w:rPr>
        <w:t>万元，占总支出的</w:t>
      </w:r>
      <w:r w:rsidR="00333C33" w:rsidRPr="00E87D90">
        <w:rPr>
          <w:rFonts w:asciiTheme="minorEastAsia" w:hAnsiTheme="minorEastAsia" w:cs="Times New Roman"/>
          <w:bCs/>
          <w:kern w:val="44"/>
          <w:sz w:val="32"/>
          <w:szCs w:val="32"/>
        </w:rPr>
        <w:t>0.05%</w:t>
      </w:r>
      <w:r w:rsidRPr="00E87D90">
        <w:rPr>
          <w:rFonts w:asciiTheme="minorEastAsia" w:hAnsiTheme="minorEastAsia" w:cs="Times New Roman" w:hint="eastAsia"/>
          <w:bCs/>
          <w:kern w:val="44"/>
          <w:sz w:val="32"/>
          <w:szCs w:val="32"/>
        </w:rPr>
        <w:t>；住房保障支出</w:t>
      </w:r>
      <w:r w:rsidR="00333C33" w:rsidRPr="00E87D90">
        <w:rPr>
          <w:rFonts w:asciiTheme="minorEastAsia" w:hAnsiTheme="minorEastAsia" w:cs="Times New Roman"/>
          <w:bCs/>
          <w:kern w:val="44"/>
          <w:sz w:val="32"/>
          <w:szCs w:val="32"/>
        </w:rPr>
        <w:t>5,472.19</w:t>
      </w:r>
      <w:r w:rsidRPr="00E87D90">
        <w:rPr>
          <w:rFonts w:asciiTheme="minorEastAsia" w:hAnsiTheme="minorEastAsia" w:cs="Times New Roman" w:hint="eastAsia"/>
          <w:bCs/>
          <w:kern w:val="44"/>
          <w:sz w:val="32"/>
          <w:szCs w:val="32"/>
        </w:rPr>
        <w:t>万元，占总支出的</w:t>
      </w:r>
      <w:r w:rsidR="00333C33" w:rsidRPr="00E87D90">
        <w:rPr>
          <w:rFonts w:asciiTheme="minorEastAsia" w:hAnsiTheme="minorEastAsia" w:cs="Times New Roman"/>
          <w:bCs/>
          <w:kern w:val="44"/>
          <w:sz w:val="32"/>
          <w:szCs w:val="32"/>
        </w:rPr>
        <w:t>4.52%</w:t>
      </w:r>
      <w:r w:rsidRPr="00E87D90">
        <w:rPr>
          <w:rFonts w:asciiTheme="minorEastAsia" w:hAnsiTheme="minorEastAsia" w:cs="Times New Roman" w:hint="eastAsia"/>
          <w:bCs/>
          <w:kern w:val="44"/>
          <w:sz w:val="32"/>
          <w:szCs w:val="32"/>
        </w:rPr>
        <w:t>。</w:t>
      </w:r>
    </w:p>
    <w:p w:rsidR="00150250" w:rsidRPr="00E87D90" w:rsidRDefault="00150250" w:rsidP="001910F3">
      <w:pPr>
        <w:pStyle w:val="2"/>
        <w:ind w:firstLineChars="200" w:firstLine="641"/>
        <w:rPr>
          <w:rFonts w:asciiTheme="minorEastAsia" w:eastAsiaTheme="minorEastAsia" w:hAnsiTheme="minorEastAsia" w:cs="Times New Roman"/>
          <w:bCs w:val="0"/>
          <w:kern w:val="44"/>
        </w:rPr>
      </w:pPr>
      <w:bookmarkStart w:id="13" w:name="_Toc520369786"/>
      <w:r w:rsidRPr="00E87D90">
        <w:rPr>
          <w:rFonts w:ascii="Times New Roman" w:eastAsia="华文楷体" w:hAnsi="华文楷体" w:cs="Times New Roman" w:hint="eastAsia"/>
        </w:rPr>
        <w:t>（四）高等学校财政拨款支出决算表说明</w:t>
      </w:r>
      <w:bookmarkEnd w:id="13"/>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学校</w:t>
      </w:r>
      <w:r w:rsidR="003604EB" w:rsidRPr="00E87D90">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年财政拨款支出总计为</w:t>
      </w:r>
      <w:r w:rsidR="003604EB" w:rsidRPr="00E87D90">
        <w:rPr>
          <w:rFonts w:asciiTheme="minorEastAsia" w:hAnsiTheme="minorEastAsia" w:cs="Times New Roman"/>
          <w:bCs/>
          <w:kern w:val="44"/>
          <w:sz w:val="32"/>
          <w:szCs w:val="32"/>
        </w:rPr>
        <w:t>72,799.10</w:t>
      </w:r>
      <w:r w:rsidRPr="00E87D90">
        <w:rPr>
          <w:rFonts w:asciiTheme="minorEastAsia" w:hAnsiTheme="minorEastAsia" w:cs="Times New Roman" w:hint="eastAsia"/>
          <w:bCs/>
          <w:kern w:val="44"/>
          <w:sz w:val="32"/>
          <w:szCs w:val="32"/>
        </w:rPr>
        <w:t>万元，其中基本支出</w:t>
      </w:r>
      <w:r w:rsidR="003604EB" w:rsidRPr="00E87D90">
        <w:rPr>
          <w:rFonts w:asciiTheme="minorEastAsia" w:hAnsiTheme="minorEastAsia" w:cs="Times New Roman"/>
          <w:bCs/>
          <w:kern w:val="44"/>
          <w:sz w:val="32"/>
          <w:szCs w:val="32"/>
        </w:rPr>
        <w:t>51,771.74</w:t>
      </w:r>
      <w:r w:rsidRPr="00E87D90">
        <w:rPr>
          <w:rFonts w:asciiTheme="minorEastAsia" w:hAnsiTheme="minorEastAsia" w:cs="Times New Roman" w:hint="eastAsia"/>
          <w:bCs/>
          <w:kern w:val="44"/>
          <w:sz w:val="32"/>
          <w:szCs w:val="32"/>
        </w:rPr>
        <w:t>万元，占</w:t>
      </w:r>
      <w:r w:rsidR="00C37D86">
        <w:rPr>
          <w:rFonts w:asciiTheme="minorEastAsia" w:hAnsiTheme="minorEastAsia" w:cs="Times New Roman" w:hint="eastAsia"/>
          <w:bCs/>
          <w:kern w:val="44"/>
          <w:sz w:val="32"/>
          <w:szCs w:val="32"/>
        </w:rPr>
        <w:t>财政拨款</w:t>
      </w:r>
      <w:r w:rsidRPr="00E87D90">
        <w:rPr>
          <w:rFonts w:asciiTheme="minorEastAsia" w:hAnsiTheme="minorEastAsia" w:cs="Times New Roman" w:hint="eastAsia"/>
          <w:bCs/>
          <w:kern w:val="44"/>
          <w:sz w:val="32"/>
          <w:szCs w:val="32"/>
        </w:rPr>
        <w:t>总支出的</w:t>
      </w:r>
      <w:r w:rsidR="003604EB" w:rsidRPr="00E87D90">
        <w:rPr>
          <w:rFonts w:asciiTheme="minorEastAsia" w:hAnsiTheme="minorEastAsia" w:cs="Times New Roman"/>
          <w:bCs/>
          <w:kern w:val="44"/>
          <w:sz w:val="32"/>
          <w:szCs w:val="32"/>
        </w:rPr>
        <w:t>71.12%</w:t>
      </w:r>
      <w:r w:rsidRPr="00E87D90">
        <w:rPr>
          <w:rFonts w:asciiTheme="minorEastAsia" w:hAnsiTheme="minorEastAsia" w:cs="Times New Roman" w:hint="eastAsia"/>
          <w:bCs/>
          <w:kern w:val="44"/>
          <w:sz w:val="32"/>
          <w:szCs w:val="32"/>
        </w:rPr>
        <w:t>；项目支出</w:t>
      </w:r>
      <w:r w:rsidR="003604EB" w:rsidRPr="00E87D90">
        <w:rPr>
          <w:rFonts w:asciiTheme="minorEastAsia" w:hAnsiTheme="minorEastAsia" w:cs="Times New Roman"/>
          <w:bCs/>
          <w:kern w:val="44"/>
          <w:sz w:val="32"/>
          <w:szCs w:val="32"/>
        </w:rPr>
        <w:t>21,027.36</w:t>
      </w:r>
      <w:r w:rsidRPr="00E87D90">
        <w:rPr>
          <w:rFonts w:asciiTheme="minorEastAsia" w:hAnsiTheme="minorEastAsia" w:cs="Times New Roman" w:hint="eastAsia"/>
          <w:bCs/>
          <w:kern w:val="44"/>
          <w:sz w:val="32"/>
          <w:szCs w:val="32"/>
        </w:rPr>
        <w:t>万元，占</w:t>
      </w:r>
      <w:r w:rsidR="00C37D86">
        <w:rPr>
          <w:rFonts w:asciiTheme="minorEastAsia" w:hAnsiTheme="minorEastAsia" w:cs="Times New Roman" w:hint="eastAsia"/>
          <w:bCs/>
          <w:kern w:val="44"/>
          <w:sz w:val="32"/>
          <w:szCs w:val="32"/>
        </w:rPr>
        <w:t>财政拨款</w:t>
      </w:r>
      <w:r w:rsidRPr="00E87D90">
        <w:rPr>
          <w:rFonts w:asciiTheme="minorEastAsia" w:hAnsiTheme="minorEastAsia" w:cs="Times New Roman" w:hint="eastAsia"/>
          <w:bCs/>
          <w:kern w:val="44"/>
          <w:sz w:val="32"/>
          <w:szCs w:val="32"/>
        </w:rPr>
        <w:t>总支出的</w:t>
      </w:r>
      <w:r w:rsidR="003604EB" w:rsidRPr="00E87D90">
        <w:rPr>
          <w:rFonts w:asciiTheme="minorEastAsia" w:hAnsiTheme="minorEastAsia" w:cs="Times New Roman"/>
          <w:bCs/>
          <w:kern w:val="44"/>
          <w:sz w:val="32"/>
          <w:szCs w:val="32"/>
        </w:rPr>
        <w:t>28.88%</w:t>
      </w:r>
      <w:r w:rsidRPr="00E87D90">
        <w:rPr>
          <w:rFonts w:asciiTheme="minorEastAsia" w:hAnsiTheme="minorEastAsia" w:cs="Times New Roman" w:hint="eastAsia"/>
          <w:bCs/>
          <w:kern w:val="44"/>
          <w:sz w:val="32"/>
          <w:szCs w:val="32"/>
        </w:rPr>
        <w:t>。具</w:t>
      </w:r>
      <w:r w:rsidRPr="00E87D90">
        <w:rPr>
          <w:rFonts w:asciiTheme="minorEastAsia" w:hAnsiTheme="minorEastAsia" w:cs="Times New Roman" w:hint="eastAsia"/>
          <w:bCs/>
          <w:kern w:val="44"/>
          <w:sz w:val="32"/>
          <w:szCs w:val="32"/>
        </w:rPr>
        <w:lastRenderedPageBreak/>
        <w:t>体包括：</w:t>
      </w:r>
    </w:p>
    <w:p w:rsidR="00094606"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1.一般行政管理事务（2050102），</w:t>
      </w:r>
      <w:r w:rsidR="003604EB" w:rsidRPr="00E87D90">
        <w:rPr>
          <w:rFonts w:asciiTheme="minorEastAsia" w:hAnsiTheme="minorEastAsia" w:cs="Times New Roman" w:hint="eastAsia"/>
          <w:bCs/>
          <w:kern w:val="44"/>
          <w:sz w:val="32"/>
          <w:szCs w:val="32"/>
        </w:rPr>
        <w:t>2017</w:t>
      </w:r>
      <w:r w:rsidR="00094606" w:rsidRPr="00E87D90">
        <w:rPr>
          <w:rFonts w:asciiTheme="minorEastAsia" w:hAnsiTheme="minorEastAsia" w:cs="Times New Roman" w:hint="eastAsia"/>
          <w:bCs/>
          <w:kern w:val="44"/>
          <w:sz w:val="32"/>
          <w:szCs w:val="32"/>
        </w:rPr>
        <w:t>年决算数为</w:t>
      </w:r>
      <w:r w:rsidR="003604EB" w:rsidRPr="00E87D90">
        <w:rPr>
          <w:rFonts w:asciiTheme="minorEastAsia" w:hAnsiTheme="minorEastAsia" w:cs="Times New Roman"/>
          <w:bCs/>
          <w:kern w:val="44"/>
          <w:sz w:val="32"/>
          <w:szCs w:val="32"/>
        </w:rPr>
        <w:t>2.17</w:t>
      </w:r>
      <w:r w:rsidR="00755C30" w:rsidRPr="00E87D90">
        <w:rPr>
          <w:rFonts w:asciiTheme="minorEastAsia" w:hAnsiTheme="minorEastAsia" w:cs="Times New Roman" w:hint="eastAsia"/>
          <w:bCs/>
          <w:kern w:val="44"/>
          <w:sz w:val="32"/>
          <w:szCs w:val="32"/>
        </w:rPr>
        <w:t>万元，较</w:t>
      </w:r>
      <w:r w:rsidR="003604EB" w:rsidRPr="00E87D90">
        <w:rPr>
          <w:rFonts w:asciiTheme="minorEastAsia" w:hAnsiTheme="minorEastAsia" w:cs="Times New Roman" w:hint="eastAsia"/>
          <w:bCs/>
          <w:kern w:val="44"/>
          <w:sz w:val="32"/>
          <w:szCs w:val="32"/>
        </w:rPr>
        <w:t>2016</w:t>
      </w:r>
      <w:r w:rsidR="00094606" w:rsidRPr="00E87D90">
        <w:rPr>
          <w:rFonts w:asciiTheme="minorEastAsia" w:hAnsiTheme="minorEastAsia" w:cs="Times New Roman" w:hint="eastAsia"/>
          <w:bCs/>
          <w:kern w:val="44"/>
          <w:sz w:val="32"/>
          <w:szCs w:val="32"/>
        </w:rPr>
        <w:t>年决算数</w:t>
      </w:r>
      <w:r w:rsidR="003604EB" w:rsidRPr="00E87D90">
        <w:rPr>
          <w:rFonts w:asciiTheme="minorEastAsia" w:hAnsiTheme="minorEastAsia" w:cs="Times New Roman"/>
          <w:bCs/>
          <w:kern w:val="44"/>
          <w:sz w:val="32"/>
          <w:szCs w:val="32"/>
        </w:rPr>
        <w:t>3.00</w:t>
      </w:r>
      <w:r w:rsidR="00755C30" w:rsidRPr="00E87D90">
        <w:rPr>
          <w:rFonts w:asciiTheme="minorEastAsia" w:hAnsiTheme="minorEastAsia" w:cs="Times New Roman" w:hint="eastAsia"/>
          <w:bCs/>
          <w:kern w:val="44"/>
          <w:sz w:val="32"/>
          <w:szCs w:val="32"/>
        </w:rPr>
        <w:t>万元</w:t>
      </w:r>
      <w:r w:rsidR="00094606" w:rsidRPr="00E87D90">
        <w:rPr>
          <w:rFonts w:asciiTheme="minorEastAsia" w:hAnsiTheme="minorEastAsia" w:cs="Times New Roman" w:hint="eastAsia"/>
          <w:bCs/>
          <w:kern w:val="44"/>
          <w:sz w:val="32"/>
          <w:szCs w:val="32"/>
        </w:rPr>
        <w:t>减少</w:t>
      </w:r>
      <w:r w:rsidR="003604EB" w:rsidRPr="00E87D90">
        <w:rPr>
          <w:rFonts w:asciiTheme="minorEastAsia" w:hAnsiTheme="minorEastAsia" w:cs="Times New Roman"/>
          <w:bCs/>
          <w:kern w:val="44"/>
          <w:sz w:val="32"/>
          <w:szCs w:val="32"/>
        </w:rPr>
        <w:t>0.83</w:t>
      </w:r>
      <w:r w:rsidRPr="00E87D90">
        <w:rPr>
          <w:rFonts w:asciiTheme="minorEastAsia" w:hAnsiTheme="minorEastAsia" w:cs="Times New Roman" w:hint="eastAsia"/>
          <w:bCs/>
          <w:kern w:val="44"/>
          <w:sz w:val="32"/>
          <w:szCs w:val="32"/>
        </w:rPr>
        <w:t>万元，</w:t>
      </w:r>
      <w:r w:rsidR="00755C30" w:rsidRPr="00E87D90">
        <w:rPr>
          <w:rFonts w:asciiTheme="minorEastAsia" w:hAnsiTheme="minorEastAsia" w:cs="Times New Roman" w:hint="eastAsia"/>
          <w:bCs/>
          <w:kern w:val="44"/>
          <w:sz w:val="32"/>
          <w:szCs w:val="32"/>
        </w:rPr>
        <w:t>减幅</w:t>
      </w:r>
      <w:r w:rsidR="002E48CC" w:rsidRPr="00E87D90">
        <w:rPr>
          <w:rFonts w:asciiTheme="minorEastAsia" w:hAnsiTheme="minorEastAsia" w:cs="Times New Roman" w:hint="eastAsia"/>
          <w:bCs/>
          <w:kern w:val="44"/>
          <w:sz w:val="32"/>
          <w:szCs w:val="32"/>
        </w:rPr>
        <w:t>27.67</w:t>
      </w:r>
      <w:r w:rsidR="00755C30" w:rsidRPr="00E87D90">
        <w:rPr>
          <w:rFonts w:asciiTheme="minorEastAsia" w:hAnsiTheme="minorEastAsia" w:cs="Times New Roman" w:hint="eastAsia"/>
          <w:bCs/>
          <w:kern w:val="44"/>
          <w:sz w:val="32"/>
          <w:szCs w:val="32"/>
        </w:rPr>
        <w:t>%。</w:t>
      </w:r>
      <w:r w:rsidR="002E48CC" w:rsidRPr="00E87D90">
        <w:rPr>
          <w:rFonts w:asciiTheme="minorEastAsia" w:hAnsiTheme="minorEastAsia" w:cs="Times New Roman" w:hint="eastAsia"/>
          <w:bCs/>
          <w:kern w:val="44"/>
          <w:sz w:val="32"/>
          <w:szCs w:val="32"/>
        </w:rPr>
        <w:t>主要原因是我校2017年没有此类拨款，2017年支出数为使用2016年外事管理事务专项的</w:t>
      </w:r>
      <w:r w:rsidR="0028693D" w:rsidRPr="00E87D90">
        <w:rPr>
          <w:rFonts w:asciiTheme="minorEastAsia" w:hAnsiTheme="minorEastAsia" w:cs="Times New Roman" w:hint="eastAsia"/>
          <w:bCs/>
          <w:kern w:val="44"/>
          <w:sz w:val="32"/>
          <w:szCs w:val="32"/>
        </w:rPr>
        <w:t>结转资金,此项目2017年全部支出完毕无余额。</w:t>
      </w:r>
    </w:p>
    <w:p w:rsidR="00D979DB" w:rsidRPr="00E87D90" w:rsidRDefault="00094606"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 xml:space="preserve"> </w:t>
      </w:r>
      <w:r w:rsidR="00150250" w:rsidRPr="00E87D90">
        <w:rPr>
          <w:rFonts w:asciiTheme="minorEastAsia" w:hAnsiTheme="minorEastAsia" w:cs="Times New Roman" w:hint="eastAsia"/>
          <w:bCs/>
          <w:kern w:val="44"/>
          <w:sz w:val="32"/>
          <w:szCs w:val="32"/>
        </w:rPr>
        <w:t>2.高等教育（2050205），</w:t>
      </w:r>
      <w:r w:rsidR="002E48CC" w:rsidRPr="00E87D90">
        <w:rPr>
          <w:rFonts w:asciiTheme="minorEastAsia" w:hAnsiTheme="minorEastAsia" w:cs="Times New Roman" w:hint="eastAsia"/>
          <w:bCs/>
          <w:kern w:val="44"/>
          <w:sz w:val="32"/>
          <w:szCs w:val="32"/>
        </w:rPr>
        <w:t>2017</w:t>
      </w:r>
      <w:r w:rsidR="004A1158" w:rsidRPr="00E87D90">
        <w:rPr>
          <w:rFonts w:asciiTheme="minorEastAsia" w:hAnsiTheme="minorEastAsia" w:cs="Times New Roman" w:hint="eastAsia"/>
          <w:bCs/>
          <w:kern w:val="44"/>
          <w:sz w:val="32"/>
          <w:szCs w:val="32"/>
        </w:rPr>
        <w:t>年决算数为</w:t>
      </w:r>
      <w:r w:rsidR="002E48CC" w:rsidRPr="00E87D90">
        <w:rPr>
          <w:rFonts w:asciiTheme="minorEastAsia" w:hAnsiTheme="minorEastAsia" w:cs="Times New Roman"/>
          <w:bCs/>
          <w:kern w:val="44"/>
          <w:sz w:val="32"/>
          <w:szCs w:val="32"/>
        </w:rPr>
        <w:t>67,609.15</w:t>
      </w:r>
      <w:r w:rsidR="004A1158" w:rsidRPr="00E87D90">
        <w:rPr>
          <w:rFonts w:asciiTheme="minorEastAsia" w:hAnsiTheme="minorEastAsia" w:cs="Times New Roman" w:hint="eastAsia"/>
          <w:bCs/>
          <w:kern w:val="44"/>
          <w:sz w:val="32"/>
          <w:szCs w:val="32"/>
        </w:rPr>
        <w:t>万元，较</w:t>
      </w:r>
      <w:r w:rsidR="002E48CC" w:rsidRPr="00E87D90">
        <w:rPr>
          <w:rFonts w:asciiTheme="minorEastAsia" w:hAnsiTheme="minorEastAsia" w:cs="Times New Roman" w:hint="eastAsia"/>
          <w:bCs/>
          <w:kern w:val="44"/>
          <w:sz w:val="32"/>
          <w:szCs w:val="32"/>
        </w:rPr>
        <w:t>2016</w:t>
      </w:r>
      <w:r w:rsidR="004A1158" w:rsidRPr="00E87D90">
        <w:rPr>
          <w:rFonts w:asciiTheme="minorEastAsia" w:hAnsiTheme="minorEastAsia" w:cs="Times New Roman" w:hint="eastAsia"/>
          <w:bCs/>
          <w:kern w:val="44"/>
          <w:sz w:val="32"/>
          <w:szCs w:val="32"/>
        </w:rPr>
        <w:t>年决算数</w:t>
      </w:r>
      <w:r w:rsidR="002E48CC" w:rsidRPr="00E87D90">
        <w:rPr>
          <w:rFonts w:asciiTheme="minorEastAsia" w:hAnsiTheme="minorEastAsia" w:cs="Times New Roman"/>
          <w:bCs/>
          <w:kern w:val="44"/>
          <w:sz w:val="32"/>
          <w:szCs w:val="32"/>
        </w:rPr>
        <w:t>58,083.70</w:t>
      </w:r>
      <w:r w:rsidR="004A1158" w:rsidRPr="00E87D90">
        <w:rPr>
          <w:rFonts w:asciiTheme="minorEastAsia" w:hAnsiTheme="minorEastAsia" w:cs="Times New Roman" w:hint="eastAsia"/>
          <w:bCs/>
          <w:kern w:val="44"/>
          <w:sz w:val="32"/>
          <w:szCs w:val="32"/>
        </w:rPr>
        <w:t>万元</w:t>
      </w:r>
      <w:r w:rsidR="002E48CC" w:rsidRPr="00E87D90">
        <w:rPr>
          <w:rFonts w:asciiTheme="minorEastAsia" w:hAnsiTheme="minorEastAsia" w:cs="Times New Roman" w:hint="eastAsia"/>
          <w:bCs/>
          <w:kern w:val="44"/>
          <w:sz w:val="32"/>
          <w:szCs w:val="32"/>
        </w:rPr>
        <w:t>增加</w:t>
      </w:r>
      <w:r w:rsidR="002E48CC" w:rsidRPr="00E87D90">
        <w:rPr>
          <w:rFonts w:asciiTheme="minorEastAsia" w:hAnsiTheme="minorEastAsia" w:cs="Times New Roman"/>
          <w:bCs/>
          <w:kern w:val="44"/>
          <w:sz w:val="32"/>
          <w:szCs w:val="32"/>
        </w:rPr>
        <w:t>9,525.45</w:t>
      </w:r>
      <w:r w:rsidR="004A1158" w:rsidRPr="00E87D90">
        <w:rPr>
          <w:rFonts w:asciiTheme="minorEastAsia" w:hAnsiTheme="minorEastAsia" w:cs="Times New Roman" w:hint="eastAsia"/>
          <w:bCs/>
          <w:kern w:val="44"/>
          <w:sz w:val="32"/>
          <w:szCs w:val="32"/>
        </w:rPr>
        <w:t>万元，</w:t>
      </w:r>
      <w:r w:rsidR="002E48CC" w:rsidRPr="00E87D90">
        <w:rPr>
          <w:rFonts w:asciiTheme="minorEastAsia" w:hAnsiTheme="minorEastAsia" w:cs="Times New Roman" w:hint="eastAsia"/>
          <w:bCs/>
          <w:kern w:val="44"/>
          <w:sz w:val="32"/>
          <w:szCs w:val="32"/>
        </w:rPr>
        <w:t>增幅</w:t>
      </w:r>
      <w:r w:rsidR="002E48CC" w:rsidRPr="00E87D90">
        <w:rPr>
          <w:rFonts w:asciiTheme="minorEastAsia" w:hAnsiTheme="minorEastAsia" w:cs="Times New Roman"/>
          <w:bCs/>
          <w:kern w:val="44"/>
          <w:sz w:val="32"/>
          <w:szCs w:val="32"/>
        </w:rPr>
        <w:t>16.40%</w:t>
      </w:r>
      <w:r w:rsidR="00150250" w:rsidRPr="00E87D90">
        <w:rPr>
          <w:rFonts w:asciiTheme="minorEastAsia" w:hAnsiTheme="minorEastAsia" w:cs="Times New Roman" w:hint="eastAsia"/>
          <w:bCs/>
          <w:kern w:val="44"/>
          <w:sz w:val="32"/>
          <w:szCs w:val="32"/>
        </w:rPr>
        <w:t>。</w:t>
      </w:r>
      <w:r w:rsidR="0069331C" w:rsidRPr="00E87D90">
        <w:rPr>
          <w:rFonts w:asciiTheme="minorEastAsia" w:hAnsiTheme="minorEastAsia" w:cs="Times New Roman" w:hint="eastAsia"/>
          <w:bCs/>
          <w:kern w:val="44"/>
          <w:sz w:val="32"/>
          <w:szCs w:val="32"/>
        </w:rPr>
        <w:t>主要原因</w:t>
      </w:r>
      <w:r w:rsidR="00E21BA9" w:rsidRPr="00E87D90">
        <w:rPr>
          <w:rFonts w:asciiTheme="minorEastAsia" w:hAnsiTheme="minorEastAsia" w:cs="Times New Roman" w:hint="eastAsia"/>
          <w:bCs/>
          <w:kern w:val="44"/>
          <w:sz w:val="32"/>
          <w:szCs w:val="32"/>
        </w:rPr>
        <w:t>：</w:t>
      </w:r>
      <w:r w:rsidR="00150250" w:rsidRPr="00E87D90">
        <w:rPr>
          <w:rFonts w:asciiTheme="minorEastAsia" w:hAnsiTheme="minorEastAsia" w:cs="Times New Roman" w:hint="eastAsia"/>
          <w:bCs/>
          <w:kern w:val="44"/>
          <w:sz w:val="32"/>
          <w:szCs w:val="32"/>
        </w:rPr>
        <w:t>一是高等教育项目支出</w:t>
      </w:r>
      <w:r w:rsidR="00273343" w:rsidRPr="00E87D90">
        <w:rPr>
          <w:rFonts w:asciiTheme="minorEastAsia" w:hAnsiTheme="minorEastAsia" w:cs="Times New Roman" w:hint="eastAsia"/>
          <w:bCs/>
          <w:kern w:val="44"/>
          <w:sz w:val="32"/>
          <w:szCs w:val="32"/>
        </w:rPr>
        <w:t>较上年有所增加，主要是改善基本办学条件经费、教育教学改革经费、基本科研业务费、捐赠配比财政拨款增加且专项执行较好； 2017年基本建设无拨款，系使用上年结转资金，较上年支出减少989万。</w:t>
      </w:r>
      <w:r w:rsidR="00150250" w:rsidRPr="00E87D90">
        <w:rPr>
          <w:rFonts w:asciiTheme="minorEastAsia" w:hAnsiTheme="minorEastAsia" w:cs="Times New Roman" w:hint="eastAsia"/>
          <w:bCs/>
          <w:kern w:val="44"/>
          <w:sz w:val="32"/>
          <w:szCs w:val="32"/>
        </w:rPr>
        <w:t>二是高等教育基本支出较上年有所增加，</w:t>
      </w:r>
      <w:r w:rsidR="00273343" w:rsidRPr="00E87D90">
        <w:rPr>
          <w:rFonts w:asciiTheme="minorEastAsia" w:hAnsiTheme="minorEastAsia" w:cs="Times New Roman" w:hint="eastAsia"/>
          <w:bCs/>
          <w:kern w:val="44"/>
          <w:sz w:val="32"/>
          <w:szCs w:val="32"/>
        </w:rPr>
        <w:t>主要是</w:t>
      </w:r>
      <w:r w:rsidR="002E48CC" w:rsidRPr="00E87D90">
        <w:rPr>
          <w:rFonts w:asciiTheme="minorEastAsia" w:hAnsiTheme="minorEastAsia" w:cs="Times New Roman" w:hint="eastAsia"/>
          <w:bCs/>
          <w:kern w:val="44"/>
          <w:sz w:val="32"/>
          <w:szCs w:val="32"/>
        </w:rPr>
        <w:t>本年年中追加</w:t>
      </w:r>
      <w:r w:rsidR="00273343" w:rsidRPr="00E87D90">
        <w:rPr>
          <w:rFonts w:asciiTheme="minorEastAsia" w:hAnsiTheme="minorEastAsia" w:cs="Times New Roman" w:hint="eastAsia"/>
          <w:bCs/>
          <w:kern w:val="44"/>
          <w:sz w:val="32"/>
          <w:szCs w:val="32"/>
        </w:rPr>
        <w:t>的</w:t>
      </w:r>
      <w:r w:rsidR="002E48CC" w:rsidRPr="00E87D90">
        <w:rPr>
          <w:rFonts w:asciiTheme="minorEastAsia" w:hAnsiTheme="minorEastAsia" w:cs="Times New Roman" w:hint="eastAsia"/>
          <w:bCs/>
          <w:kern w:val="44"/>
          <w:sz w:val="32"/>
          <w:szCs w:val="32"/>
        </w:rPr>
        <w:t>离退休人员经费、博士生国家助学金、退休人员基本养老金</w:t>
      </w:r>
      <w:r w:rsidR="00273343" w:rsidRPr="00E87D90">
        <w:rPr>
          <w:rFonts w:asciiTheme="minorEastAsia" w:hAnsiTheme="minorEastAsia" w:cs="Times New Roman" w:hint="eastAsia"/>
          <w:bCs/>
          <w:kern w:val="44"/>
          <w:sz w:val="32"/>
          <w:szCs w:val="32"/>
        </w:rPr>
        <w:t>支出</w:t>
      </w:r>
      <w:r w:rsidR="002C0016" w:rsidRPr="00E87D90">
        <w:rPr>
          <w:rFonts w:asciiTheme="minorEastAsia" w:hAnsiTheme="minorEastAsia" w:cs="Times New Roman" w:hint="eastAsia"/>
          <w:bCs/>
          <w:kern w:val="44"/>
          <w:sz w:val="32"/>
          <w:szCs w:val="32"/>
        </w:rPr>
        <w:t>。</w:t>
      </w:r>
    </w:p>
    <w:p w:rsidR="00150250" w:rsidRPr="00E87D90" w:rsidRDefault="00150250" w:rsidP="009A5687">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3.来华留学教育（2050602），</w:t>
      </w:r>
      <w:r w:rsidR="005D6B69" w:rsidRPr="00E87D90">
        <w:rPr>
          <w:rFonts w:asciiTheme="minorEastAsia" w:hAnsiTheme="minorEastAsia" w:cs="Times New Roman" w:hint="eastAsia"/>
          <w:bCs/>
          <w:kern w:val="44"/>
          <w:sz w:val="32"/>
          <w:szCs w:val="32"/>
        </w:rPr>
        <w:t>2017</w:t>
      </w:r>
      <w:r w:rsidR="002C0016" w:rsidRPr="00E87D90">
        <w:rPr>
          <w:rFonts w:asciiTheme="minorEastAsia" w:hAnsiTheme="minorEastAsia" w:cs="Times New Roman" w:hint="eastAsia"/>
          <w:bCs/>
          <w:kern w:val="44"/>
          <w:sz w:val="32"/>
          <w:szCs w:val="32"/>
        </w:rPr>
        <w:t>年决算数为</w:t>
      </w:r>
      <w:r w:rsidR="005D6B69" w:rsidRPr="00E87D90">
        <w:rPr>
          <w:rFonts w:asciiTheme="minorEastAsia" w:hAnsiTheme="minorEastAsia" w:cs="Times New Roman"/>
          <w:bCs/>
          <w:kern w:val="44"/>
          <w:sz w:val="32"/>
          <w:szCs w:val="32"/>
        </w:rPr>
        <w:t>731.53</w:t>
      </w:r>
      <w:r w:rsidR="002C0016" w:rsidRPr="00E87D90">
        <w:rPr>
          <w:rFonts w:asciiTheme="minorEastAsia" w:hAnsiTheme="minorEastAsia" w:cs="Times New Roman" w:hint="eastAsia"/>
          <w:bCs/>
          <w:kern w:val="44"/>
          <w:sz w:val="32"/>
          <w:szCs w:val="32"/>
        </w:rPr>
        <w:t>万元，</w:t>
      </w:r>
      <w:r w:rsidR="004E4F5E" w:rsidRPr="00E87D90">
        <w:rPr>
          <w:rFonts w:asciiTheme="minorEastAsia" w:hAnsiTheme="minorEastAsia" w:cs="Times New Roman" w:hint="eastAsia"/>
          <w:bCs/>
          <w:kern w:val="44"/>
          <w:sz w:val="32"/>
          <w:szCs w:val="32"/>
        </w:rPr>
        <w:t>较</w:t>
      </w:r>
      <w:r w:rsidR="005D6B69" w:rsidRPr="00E87D90">
        <w:rPr>
          <w:rFonts w:asciiTheme="minorEastAsia" w:hAnsiTheme="minorEastAsia" w:cs="Times New Roman" w:hint="eastAsia"/>
          <w:bCs/>
          <w:kern w:val="44"/>
          <w:sz w:val="32"/>
          <w:szCs w:val="32"/>
        </w:rPr>
        <w:t>2016</w:t>
      </w:r>
      <w:r w:rsidR="004E4F5E" w:rsidRPr="00E87D90">
        <w:rPr>
          <w:rFonts w:asciiTheme="minorEastAsia" w:hAnsiTheme="minorEastAsia" w:cs="Times New Roman" w:hint="eastAsia"/>
          <w:bCs/>
          <w:kern w:val="44"/>
          <w:sz w:val="32"/>
          <w:szCs w:val="32"/>
        </w:rPr>
        <w:t>年决算数</w:t>
      </w:r>
      <w:r w:rsidR="005D6B69" w:rsidRPr="00E87D90">
        <w:rPr>
          <w:rFonts w:asciiTheme="minorEastAsia" w:hAnsiTheme="minorEastAsia" w:cs="Times New Roman"/>
          <w:bCs/>
          <w:kern w:val="44"/>
          <w:sz w:val="32"/>
          <w:szCs w:val="32"/>
        </w:rPr>
        <w:t>652.98</w:t>
      </w:r>
      <w:r w:rsidR="004E4F5E" w:rsidRPr="00E87D90">
        <w:rPr>
          <w:rFonts w:asciiTheme="minorEastAsia" w:hAnsiTheme="minorEastAsia" w:cs="Times New Roman" w:hint="eastAsia"/>
          <w:bCs/>
          <w:kern w:val="44"/>
          <w:sz w:val="32"/>
          <w:szCs w:val="32"/>
        </w:rPr>
        <w:t>万元</w:t>
      </w:r>
      <w:r w:rsidR="005D6B69" w:rsidRPr="00E87D90">
        <w:rPr>
          <w:rFonts w:asciiTheme="minorEastAsia" w:hAnsiTheme="minorEastAsia" w:cs="Times New Roman" w:hint="eastAsia"/>
          <w:bCs/>
          <w:kern w:val="44"/>
          <w:sz w:val="32"/>
          <w:szCs w:val="32"/>
        </w:rPr>
        <w:t>增加</w:t>
      </w:r>
      <w:r w:rsidR="005D6B69" w:rsidRPr="00E87D90">
        <w:rPr>
          <w:rFonts w:asciiTheme="minorEastAsia" w:hAnsiTheme="minorEastAsia" w:cs="Times New Roman"/>
          <w:bCs/>
          <w:kern w:val="44"/>
          <w:sz w:val="32"/>
          <w:szCs w:val="32"/>
        </w:rPr>
        <w:t>78.55</w:t>
      </w:r>
      <w:r w:rsidR="004E4F5E" w:rsidRPr="00E87D90">
        <w:rPr>
          <w:rFonts w:asciiTheme="minorEastAsia" w:hAnsiTheme="minorEastAsia" w:cs="Times New Roman" w:hint="eastAsia"/>
          <w:bCs/>
          <w:kern w:val="44"/>
          <w:sz w:val="32"/>
          <w:szCs w:val="32"/>
        </w:rPr>
        <w:t>万元，</w:t>
      </w:r>
      <w:r w:rsidR="005D6B69" w:rsidRPr="00E87D90">
        <w:rPr>
          <w:rFonts w:asciiTheme="minorEastAsia" w:hAnsiTheme="minorEastAsia" w:cs="Times New Roman" w:hint="eastAsia"/>
          <w:bCs/>
          <w:kern w:val="44"/>
          <w:sz w:val="32"/>
          <w:szCs w:val="32"/>
        </w:rPr>
        <w:t>增幅</w:t>
      </w:r>
      <w:r w:rsidR="005D6B69" w:rsidRPr="00E87D90">
        <w:rPr>
          <w:rFonts w:asciiTheme="minorEastAsia" w:hAnsiTheme="minorEastAsia" w:cs="Times New Roman"/>
          <w:bCs/>
          <w:kern w:val="44"/>
          <w:sz w:val="32"/>
          <w:szCs w:val="32"/>
        </w:rPr>
        <w:t>12.03%</w:t>
      </w:r>
      <w:r w:rsidRPr="00E87D90">
        <w:rPr>
          <w:rFonts w:asciiTheme="minorEastAsia" w:hAnsiTheme="minorEastAsia" w:cs="Times New Roman" w:hint="eastAsia"/>
          <w:bCs/>
          <w:kern w:val="44"/>
          <w:sz w:val="32"/>
          <w:szCs w:val="32"/>
        </w:rPr>
        <w:t>。</w:t>
      </w:r>
      <w:r w:rsidR="005D6B69" w:rsidRPr="00E87D90">
        <w:rPr>
          <w:rFonts w:asciiTheme="minorEastAsia" w:hAnsiTheme="minorEastAsia" w:cs="Times New Roman" w:hint="eastAsia"/>
          <w:bCs/>
          <w:kern w:val="44"/>
          <w:sz w:val="32"/>
          <w:szCs w:val="32"/>
        </w:rPr>
        <w:t>主要原因一是学校2017年来华留学教育拨款有所增加，二是2017年支出中</w:t>
      </w:r>
      <w:r w:rsidR="00C2108F" w:rsidRPr="00E87D90">
        <w:rPr>
          <w:rFonts w:asciiTheme="minorEastAsia" w:hAnsiTheme="minorEastAsia" w:cs="Times New Roman" w:hint="eastAsia"/>
          <w:bCs/>
          <w:kern w:val="44"/>
          <w:sz w:val="32"/>
          <w:szCs w:val="32"/>
        </w:rPr>
        <w:t>有使用2016年来华留学教育项目的结转资金。</w:t>
      </w:r>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4.其他教育支出（2059999），</w:t>
      </w:r>
      <w:r w:rsidR="00C2108F" w:rsidRPr="00E87D90">
        <w:rPr>
          <w:rFonts w:asciiTheme="minorEastAsia" w:hAnsiTheme="minorEastAsia" w:cs="Times New Roman" w:hint="eastAsia"/>
          <w:bCs/>
          <w:kern w:val="44"/>
          <w:sz w:val="32"/>
          <w:szCs w:val="32"/>
        </w:rPr>
        <w:t>2017</w:t>
      </w:r>
      <w:r w:rsidR="004E4F5E" w:rsidRPr="00E87D90">
        <w:rPr>
          <w:rFonts w:asciiTheme="minorEastAsia" w:hAnsiTheme="minorEastAsia" w:cs="Times New Roman" w:hint="eastAsia"/>
          <w:bCs/>
          <w:kern w:val="44"/>
          <w:sz w:val="32"/>
          <w:szCs w:val="32"/>
        </w:rPr>
        <w:t>年决算数为</w:t>
      </w:r>
      <w:r w:rsidR="00C2108F" w:rsidRPr="00E87D90">
        <w:rPr>
          <w:rFonts w:asciiTheme="minorEastAsia" w:hAnsiTheme="minorEastAsia" w:cs="Times New Roman"/>
          <w:bCs/>
          <w:kern w:val="44"/>
          <w:sz w:val="32"/>
          <w:szCs w:val="32"/>
        </w:rPr>
        <w:t>376.95</w:t>
      </w:r>
      <w:r w:rsidR="004E4F5E" w:rsidRPr="00E87D90">
        <w:rPr>
          <w:rFonts w:asciiTheme="minorEastAsia" w:hAnsiTheme="minorEastAsia" w:cs="Times New Roman" w:hint="eastAsia"/>
          <w:bCs/>
          <w:kern w:val="44"/>
          <w:sz w:val="32"/>
          <w:szCs w:val="32"/>
        </w:rPr>
        <w:t>万元，较</w:t>
      </w:r>
      <w:r w:rsidR="00C2108F" w:rsidRPr="00E87D90">
        <w:rPr>
          <w:rFonts w:asciiTheme="minorEastAsia" w:hAnsiTheme="minorEastAsia" w:cs="Times New Roman" w:hint="eastAsia"/>
          <w:bCs/>
          <w:kern w:val="44"/>
          <w:sz w:val="32"/>
          <w:szCs w:val="32"/>
        </w:rPr>
        <w:t>2016</w:t>
      </w:r>
      <w:r w:rsidR="004E4F5E" w:rsidRPr="00E87D90">
        <w:rPr>
          <w:rFonts w:asciiTheme="minorEastAsia" w:hAnsiTheme="minorEastAsia" w:cs="Times New Roman" w:hint="eastAsia"/>
          <w:bCs/>
          <w:kern w:val="44"/>
          <w:sz w:val="32"/>
          <w:szCs w:val="32"/>
        </w:rPr>
        <w:t>年决算数</w:t>
      </w:r>
      <w:r w:rsidR="00C2108F" w:rsidRPr="00E87D90">
        <w:rPr>
          <w:rFonts w:asciiTheme="minorEastAsia" w:hAnsiTheme="minorEastAsia" w:cs="Times New Roman"/>
          <w:bCs/>
          <w:kern w:val="44"/>
          <w:sz w:val="32"/>
          <w:szCs w:val="32"/>
        </w:rPr>
        <w:t>306.53</w:t>
      </w:r>
      <w:r w:rsidR="004E4F5E" w:rsidRPr="00E87D90">
        <w:rPr>
          <w:rFonts w:asciiTheme="minorEastAsia" w:hAnsiTheme="minorEastAsia" w:cs="Times New Roman" w:hint="eastAsia"/>
          <w:bCs/>
          <w:kern w:val="44"/>
          <w:sz w:val="32"/>
          <w:szCs w:val="32"/>
        </w:rPr>
        <w:t>万元增加</w:t>
      </w:r>
      <w:r w:rsidR="00C2108F" w:rsidRPr="00E87D90">
        <w:rPr>
          <w:rFonts w:asciiTheme="minorEastAsia" w:hAnsiTheme="minorEastAsia" w:cs="Times New Roman"/>
          <w:bCs/>
          <w:kern w:val="44"/>
          <w:sz w:val="32"/>
          <w:szCs w:val="32"/>
        </w:rPr>
        <w:t>70.42</w:t>
      </w:r>
      <w:r w:rsidR="004E4F5E" w:rsidRPr="00E87D90">
        <w:rPr>
          <w:rFonts w:asciiTheme="minorEastAsia" w:hAnsiTheme="minorEastAsia" w:cs="Times New Roman" w:hint="eastAsia"/>
          <w:bCs/>
          <w:kern w:val="44"/>
          <w:sz w:val="32"/>
          <w:szCs w:val="32"/>
        </w:rPr>
        <w:t>万元，增幅</w:t>
      </w:r>
      <w:r w:rsidR="00C2108F" w:rsidRPr="00E87D90">
        <w:rPr>
          <w:rFonts w:asciiTheme="minorEastAsia" w:hAnsiTheme="minorEastAsia" w:cs="Times New Roman" w:hint="eastAsia"/>
          <w:bCs/>
          <w:kern w:val="44"/>
          <w:sz w:val="32"/>
          <w:szCs w:val="32"/>
        </w:rPr>
        <w:lastRenderedPageBreak/>
        <w:t>22.97</w:t>
      </w:r>
      <w:r w:rsidRPr="00E87D90">
        <w:rPr>
          <w:rFonts w:asciiTheme="minorEastAsia" w:hAnsiTheme="minorEastAsia" w:cs="Times New Roman" w:hint="eastAsia"/>
          <w:bCs/>
          <w:kern w:val="44"/>
          <w:sz w:val="32"/>
          <w:szCs w:val="32"/>
        </w:rPr>
        <w:t>%。</w:t>
      </w:r>
      <w:r w:rsidR="00C2108F" w:rsidRPr="00E87D90">
        <w:rPr>
          <w:rFonts w:asciiTheme="minorEastAsia" w:hAnsiTheme="minorEastAsia" w:cs="Times New Roman" w:hint="eastAsia"/>
          <w:bCs/>
          <w:kern w:val="44"/>
          <w:sz w:val="32"/>
          <w:szCs w:val="32"/>
        </w:rPr>
        <w:t>主要原因是2017年支出中有使用2016年其他教育类研究项目的结转资金且执行较好。</w:t>
      </w:r>
    </w:p>
    <w:p w:rsidR="00EC7E73" w:rsidRPr="00E87D90" w:rsidRDefault="00331BC5"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5</w:t>
      </w:r>
      <w:r w:rsidR="00150250" w:rsidRPr="00E87D90">
        <w:rPr>
          <w:rFonts w:asciiTheme="minorEastAsia" w:hAnsiTheme="minorEastAsia" w:cs="Times New Roman" w:hint="eastAsia"/>
          <w:bCs/>
          <w:kern w:val="44"/>
          <w:sz w:val="32"/>
          <w:szCs w:val="32"/>
        </w:rPr>
        <w:t>.其他基础研究支出（2060299），</w:t>
      </w:r>
      <w:r w:rsidR="00C2108F" w:rsidRPr="00E87D90">
        <w:rPr>
          <w:rFonts w:asciiTheme="minorEastAsia" w:hAnsiTheme="minorEastAsia" w:cs="Times New Roman" w:hint="eastAsia"/>
          <w:bCs/>
          <w:kern w:val="44"/>
          <w:sz w:val="32"/>
          <w:szCs w:val="32"/>
        </w:rPr>
        <w:t>2017</w:t>
      </w:r>
      <w:r w:rsidR="00EC7E73" w:rsidRPr="00E87D90">
        <w:rPr>
          <w:rFonts w:asciiTheme="minorEastAsia" w:hAnsiTheme="minorEastAsia" w:cs="Times New Roman" w:hint="eastAsia"/>
          <w:bCs/>
          <w:kern w:val="44"/>
          <w:sz w:val="32"/>
          <w:szCs w:val="32"/>
        </w:rPr>
        <w:t>年决算数为</w:t>
      </w:r>
      <w:r w:rsidR="00C2108F" w:rsidRPr="00E87D90">
        <w:rPr>
          <w:rFonts w:asciiTheme="minorEastAsia" w:hAnsiTheme="minorEastAsia" w:cs="Times New Roman"/>
          <w:bCs/>
          <w:kern w:val="44"/>
          <w:sz w:val="32"/>
          <w:szCs w:val="32"/>
        </w:rPr>
        <w:t>55.59</w:t>
      </w:r>
      <w:r w:rsidR="00EC7E73" w:rsidRPr="00E87D90">
        <w:rPr>
          <w:rFonts w:asciiTheme="minorEastAsia" w:hAnsiTheme="minorEastAsia" w:cs="Times New Roman" w:hint="eastAsia"/>
          <w:bCs/>
          <w:kern w:val="44"/>
          <w:sz w:val="32"/>
          <w:szCs w:val="32"/>
        </w:rPr>
        <w:t>万元，较</w:t>
      </w:r>
      <w:r w:rsidR="00C2108F" w:rsidRPr="00E87D90">
        <w:rPr>
          <w:rFonts w:asciiTheme="minorEastAsia" w:hAnsiTheme="minorEastAsia" w:cs="Times New Roman" w:hint="eastAsia"/>
          <w:bCs/>
          <w:kern w:val="44"/>
          <w:sz w:val="32"/>
          <w:szCs w:val="32"/>
        </w:rPr>
        <w:t>2016</w:t>
      </w:r>
      <w:r w:rsidR="00150250" w:rsidRPr="00E87D90">
        <w:rPr>
          <w:rFonts w:asciiTheme="minorEastAsia" w:hAnsiTheme="minorEastAsia" w:cs="Times New Roman" w:hint="eastAsia"/>
          <w:bCs/>
          <w:kern w:val="44"/>
          <w:sz w:val="32"/>
          <w:szCs w:val="32"/>
        </w:rPr>
        <w:t>年决算数</w:t>
      </w:r>
      <w:r w:rsidR="00C2108F" w:rsidRPr="00E87D90">
        <w:rPr>
          <w:rFonts w:asciiTheme="minorEastAsia" w:hAnsiTheme="minorEastAsia" w:cs="Times New Roman"/>
          <w:bCs/>
          <w:kern w:val="44"/>
          <w:sz w:val="32"/>
          <w:szCs w:val="32"/>
        </w:rPr>
        <w:t>915.56</w:t>
      </w:r>
      <w:r w:rsidR="00150250" w:rsidRPr="00E87D90">
        <w:rPr>
          <w:rFonts w:asciiTheme="minorEastAsia" w:hAnsiTheme="minorEastAsia" w:cs="Times New Roman" w:hint="eastAsia"/>
          <w:bCs/>
          <w:kern w:val="44"/>
          <w:sz w:val="32"/>
          <w:szCs w:val="32"/>
        </w:rPr>
        <w:t>万元</w:t>
      </w:r>
      <w:r w:rsidR="00EC7E73" w:rsidRPr="00E87D90">
        <w:rPr>
          <w:rFonts w:asciiTheme="minorEastAsia" w:hAnsiTheme="minorEastAsia" w:cs="Times New Roman" w:hint="eastAsia"/>
          <w:bCs/>
          <w:kern w:val="44"/>
          <w:sz w:val="32"/>
          <w:szCs w:val="32"/>
        </w:rPr>
        <w:t>减少</w:t>
      </w:r>
      <w:r w:rsidR="00C2108F" w:rsidRPr="00E87D90">
        <w:rPr>
          <w:rFonts w:asciiTheme="minorEastAsia" w:hAnsiTheme="minorEastAsia" w:cs="Times New Roman"/>
          <w:bCs/>
          <w:kern w:val="44"/>
          <w:sz w:val="32"/>
          <w:szCs w:val="32"/>
        </w:rPr>
        <w:t>859.97</w:t>
      </w:r>
      <w:r w:rsidR="00EC7E73" w:rsidRPr="00E87D90">
        <w:rPr>
          <w:rFonts w:asciiTheme="minorEastAsia" w:hAnsiTheme="minorEastAsia" w:cs="Times New Roman" w:hint="eastAsia"/>
          <w:bCs/>
          <w:kern w:val="44"/>
          <w:sz w:val="32"/>
          <w:szCs w:val="32"/>
        </w:rPr>
        <w:t>万元，减幅</w:t>
      </w:r>
      <w:r w:rsidR="00C2108F" w:rsidRPr="00E87D90">
        <w:rPr>
          <w:rFonts w:asciiTheme="minorEastAsia" w:hAnsiTheme="minorEastAsia" w:cs="Times New Roman" w:hint="eastAsia"/>
          <w:bCs/>
          <w:kern w:val="44"/>
          <w:sz w:val="32"/>
          <w:szCs w:val="32"/>
        </w:rPr>
        <w:t>93.93</w:t>
      </w:r>
      <w:r w:rsidR="00EC7E73" w:rsidRPr="00E87D90">
        <w:rPr>
          <w:rFonts w:asciiTheme="minorEastAsia" w:hAnsiTheme="minorEastAsia" w:cs="Times New Roman" w:hint="eastAsia"/>
          <w:bCs/>
          <w:kern w:val="44"/>
          <w:sz w:val="32"/>
          <w:szCs w:val="32"/>
        </w:rPr>
        <w:t>%</w:t>
      </w:r>
      <w:r w:rsidR="00150250" w:rsidRPr="00E87D90">
        <w:rPr>
          <w:rFonts w:asciiTheme="minorEastAsia" w:hAnsiTheme="minorEastAsia" w:cs="Times New Roman" w:hint="eastAsia"/>
          <w:bCs/>
          <w:kern w:val="44"/>
          <w:sz w:val="32"/>
          <w:szCs w:val="32"/>
        </w:rPr>
        <w:t>。</w:t>
      </w:r>
      <w:r w:rsidRPr="00E87D90">
        <w:rPr>
          <w:rFonts w:asciiTheme="minorEastAsia" w:hAnsiTheme="minorEastAsia" w:cs="Times New Roman" w:hint="eastAsia"/>
          <w:bCs/>
          <w:kern w:val="44"/>
          <w:sz w:val="32"/>
          <w:szCs w:val="32"/>
        </w:rPr>
        <w:t>该项目是2015年拨付的206类科研补助项目，2016年、2017年均没有此类拨款，支出数均为使用该项目结转资金。</w:t>
      </w:r>
    </w:p>
    <w:p w:rsidR="00331BC5" w:rsidRPr="00E87D90" w:rsidRDefault="00331BC5"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6.</w:t>
      </w:r>
      <w:r w:rsidRPr="00E87D90">
        <w:rPr>
          <w:rFonts w:hint="eastAsia"/>
        </w:rPr>
        <w:t xml:space="preserve"> </w:t>
      </w:r>
      <w:r w:rsidRPr="00E87D90">
        <w:rPr>
          <w:rFonts w:asciiTheme="minorEastAsia" w:hAnsiTheme="minorEastAsia" w:cs="Times New Roman" w:hint="eastAsia"/>
          <w:bCs/>
          <w:kern w:val="44"/>
          <w:sz w:val="32"/>
          <w:szCs w:val="32"/>
        </w:rPr>
        <w:t>文化产业发展专项支出（2079903），系2017年底拨入法大出版社关于</w:t>
      </w:r>
      <w:proofErr w:type="gramStart"/>
      <w:r w:rsidRPr="00E87D90">
        <w:rPr>
          <w:rFonts w:asciiTheme="minorEastAsia" w:hAnsiTheme="minorEastAsia" w:cs="Times New Roman" w:hint="eastAsia"/>
          <w:bCs/>
          <w:kern w:val="44"/>
          <w:sz w:val="32"/>
          <w:szCs w:val="32"/>
        </w:rPr>
        <w:t>申请转企改制</w:t>
      </w:r>
      <w:proofErr w:type="gramEnd"/>
      <w:r w:rsidRPr="00E87D90">
        <w:rPr>
          <w:rFonts w:asciiTheme="minorEastAsia" w:hAnsiTheme="minorEastAsia" w:cs="Times New Roman" w:hint="eastAsia"/>
          <w:bCs/>
          <w:kern w:val="44"/>
          <w:sz w:val="32"/>
          <w:szCs w:val="32"/>
        </w:rPr>
        <w:t>费用资助</w:t>
      </w:r>
      <w:r w:rsidR="009C50C3" w:rsidRPr="00E87D90">
        <w:rPr>
          <w:rFonts w:asciiTheme="minorEastAsia" w:hAnsiTheme="minorEastAsia" w:cs="Times New Roman" w:hint="eastAsia"/>
          <w:bCs/>
          <w:kern w:val="44"/>
          <w:sz w:val="32"/>
          <w:szCs w:val="32"/>
        </w:rPr>
        <w:t>经费，2017年暂未支出，结转下年使用。2016年我校无此项拨款。</w:t>
      </w:r>
    </w:p>
    <w:p w:rsidR="00150250" w:rsidRPr="00E87D90" w:rsidRDefault="009C50C3"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7</w:t>
      </w:r>
      <w:r w:rsidR="00150250" w:rsidRPr="00E87D90">
        <w:rPr>
          <w:rFonts w:asciiTheme="minorEastAsia" w:hAnsiTheme="minorEastAsia" w:cs="Times New Roman" w:hint="eastAsia"/>
          <w:bCs/>
          <w:kern w:val="44"/>
          <w:sz w:val="32"/>
          <w:szCs w:val="32"/>
        </w:rPr>
        <w:t>.能源节约利用（2111001），</w:t>
      </w:r>
      <w:r w:rsidR="00EC7E73" w:rsidRPr="00E87D90">
        <w:rPr>
          <w:rFonts w:asciiTheme="minorEastAsia" w:hAnsiTheme="minorEastAsia" w:cs="Times New Roman" w:hint="eastAsia"/>
          <w:bCs/>
          <w:kern w:val="44"/>
          <w:sz w:val="32"/>
          <w:szCs w:val="32"/>
        </w:rPr>
        <w:t>2016年决算数为210.12万元，</w:t>
      </w:r>
      <w:r w:rsidR="00331BC5" w:rsidRPr="00E87D90">
        <w:rPr>
          <w:rFonts w:asciiTheme="minorEastAsia" w:hAnsiTheme="minorEastAsia" w:cs="Times New Roman" w:hint="eastAsia"/>
          <w:bCs/>
          <w:kern w:val="44"/>
          <w:sz w:val="32"/>
          <w:szCs w:val="32"/>
        </w:rPr>
        <w:t>系使用2014年底拨入的一次性节能环保项目结转资金，2016年全部支出完毕无余额。而2017我校没有此类拨款，因此没有该项支出。</w:t>
      </w:r>
    </w:p>
    <w:p w:rsidR="00150250" w:rsidRPr="00BA53E1" w:rsidRDefault="009C50C3"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8</w:t>
      </w:r>
      <w:r w:rsidR="00150250" w:rsidRPr="00E87D90">
        <w:rPr>
          <w:rFonts w:asciiTheme="minorEastAsia" w:hAnsiTheme="minorEastAsia" w:cs="Times New Roman" w:hint="eastAsia"/>
          <w:bCs/>
          <w:kern w:val="44"/>
          <w:sz w:val="32"/>
          <w:szCs w:val="32"/>
        </w:rPr>
        <w:t>.住房公积金（2210201），</w:t>
      </w:r>
      <w:r w:rsidR="00331BC5" w:rsidRPr="00E87D90">
        <w:rPr>
          <w:rFonts w:asciiTheme="minorEastAsia" w:hAnsiTheme="minorEastAsia" w:cs="Times New Roman" w:hint="eastAsia"/>
          <w:bCs/>
          <w:kern w:val="44"/>
          <w:sz w:val="32"/>
          <w:szCs w:val="32"/>
        </w:rPr>
        <w:t>2017</w:t>
      </w:r>
      <w:r w:rsidR="00EC105F" w:rsidRPr="00E87D90">
        <w:rPr>
          <w:rFonts w:asciiTheme="minorEastAsia" w:hAnsiTheme="minorEastAsia" w:cs="Times New Roman" w:hint="eastAsia"/>
          <w:bCs/>
          <w:kern w:val="44"/>
          <w:sz w:val="32"/>
          <w:szCs w:val="32"/>
        </w:rPr>
        <w:t>年决算数为</w:t>
      </w:r>
      <w:r w:rsidRPr="00E87D90">
        <w:rPr>
          <w:rFonts w:asciiTheme="minorEastAsia" w:hAnsiTheme="minorEastAsia" w:cs="Times New Roman"/>
          <w:bCs/>
          <w:kern w:val="44"/>
          <w:sz w:val="32"/>
          <w:szCs w:val="32"/>
        </w:rPr>
        <w:t>1,817.00</w:t>
      </w:r>
      <w:r w:rsidR="00EC105F" w:rsidRPr="00E87D90">
        <w:rPr>
          <w:rFonts w:asciiTheme="minorEastAsia" w:hAnsiTheme="minorEastAsia" w:cs="Times New Roman" w:hint="eastAsia"/>
          <w:bCs/>
          <w:kern w:val="44"/>
          <w:sz w:val="32"/>
          <w:szCs w:val="32"/>
        </w:rPr>
        <w:t>万元，较</w:t>
      </w:r>
      <w:r w:rsidRPr="00E87D90">
        <w:rPr>
          <w:rFonts w:asciiTheme="minorEastAsia" w:hAnsiTheme="minorEastAsia" w:cs="Times New Roman" w:hint="eastAsia"/>
          <w:bCs/>
          <w:kern w:val="44"/>
          <w:sz w:val="32"/>
          <w:szCs w:val="32"/>
        </w:rPr>
        <w:t>2016</w:t>
      </w:r>
      <w:r w:rsidR="00150250" w:rsidRPr="00E87D90">
        <w:rPr>
          <w:rFonts w:asciiTheme="minorEastAsia" w:hAnsiTheme="minorEastAsia" w:cs="Times New Roman" w:hint="eastAsia"/>
          <w:bCs/>
          <w:kern w:val="44"/>
          <w:sz w:val="32"/>
          <w:szCs w:val="32"/>
        </w:rPr>
        <w:t>年决算数</w:t>
      </w:r>
      <w:r w:rsidRPr="00E87D90">
        <w:rPr>
          <w:rFonts w:asciiTheme="minorEastAsia" w:hAnsiTheme="minorEastAsia" w:cs="Times New Roman"/>
          <w:bCs/>
          <w:kern w:val="44"/>
          <w:sz w:val="32"/>
          <w:szCs w:val="32"/>
        </w:rPr>
        <w:t>1,617.00</w:t>
      </w:r>
      <w:r w:rsidR="00150250" w:rsidRPr="00E87D90">
        <w:rPr>
          <w:rFonts w:asciiTheme="minorEastAsia" w:hAnsiTheme="minorEastAsia" w:cs="Times New Roman" w:hint="eastAsia"/>
          <w:bCs/>
          <w:kern w:val="44"/>
          <w:sz w:val="32"/>
          <w:szCs w:val="32"/>
        </w:rPr>
        <w:t>万元</w:t>
      </w:r>
      <w:r w:rsidR="00EC105F" w:rsidRPr="00E87D90">
        <w:rPr>
          <w:rFonts w:asciiTheme="minorEastAsia" w:hAnsiTheme="minorEastAsia" w:cs="Times New Roman" w:hint="eastAsia"/>
          <w:bCs/>
          <w:kern w:val="44"/>
          <w:sz w:val="32"/>
          <w:szCs w:val="32"/>
        </w:rPr>
        <w:t>增加</w:t>
      </w:r>
      <w:r w:rsidRPr="00E87D90">
        <w:rPr>
          <w:rFonts w:asciiTheme="minorEastAsia" w:hAnsiTheme="minorEastAsia" w:cs="Times New Roman"/>
          <w:bCs/>
          <w:kern w:val="44"/>
          <w:sz w:val="32"/>
          <w:szCs w:val="32"/>
        </w:rPr>
        <w:t>200.00</w:t>
      </w:r>
      <w:r w:rsidR="00EC105F" w:rsidRPr="00E87D90">
        <w:rPr>
          <w:rFonts w:asciiTheme="minorEastAsia" w:hAnsiTheme="minorEastAsia" w:cs="Times New Roman" w:hint="eastAsia"/>
          <w:bCs/>
          <w:kern w:val="44"/>
          <w:sz w:val="32"/>
          <w:szCs w:val="32"/>
        </w:rPr>
        <w:t>万元，增幅</w:t>
      </w:r>
      <w:r w:rsidRPr="00E87D90">
        <w:rPr>
          <w:rFonts w:asciiTheme="minorEastAsia" w:hAnsiTheme="minorEastAsia" w:cs="Times New Roman"/>
          <w:bCs/>
          <w:kern w:val="44"/>
          <w:sz w:val="32"/>
          <w:szCs w:val="32"/>
        </w:rPr>
        <w:t>12.37%</w:t>
      </w:r>
      <w:r w:rsidR="00EC105F" w:rsidRPr="00E87D90">
        <w:rPr>
          <w:rFonts w:asciiTheme="minorEastAsia" w:hAnsiTheme="minorEastAsia" w:cs="Times New Roman" w:hint="eastAsia"/>
          <w:bCs/>
          <w:kern w:val="44"/>
          <w:sz w:val="32"/>
          <w:szCs w:val="32"/>
        </w:rPr>
        <w:t>。</w:t>
      </w:r>
      <w:r w:rsidR="00150250" w:rsidRPr="00BA53E1">
        <w:rPr>
          <w:rFonts w:asciiTheme="minorEastAsia" w:hAnsiTheme="minorEastAsia" w:cs="Times New Roman" w:hint="eastAsia"/>
          <w:bCs/>
          <w:kern w:val="44"/>
          <w:sz w:val="32"/>
          <w:szCs w:val="32"/>
        </w:rPr>
        <w:t>主要原因是学校</w:t>
      </w:r>
      <w:r w:rsidRPr="00BA53E1">
        <w:rPr>
          <w:rFonts w:asciiTheme="minorEastAsia" w:hAnsiTheme="minorEastAsia" w:cs="Times New Roman" w:hint="eastAsia"/>
          <w:bCs/>
          <w:kern w:val="44"/>
          <w:sz w:val="32"/>
          <w:szCs w:val="32"/>
        </w:rPr>
        <w:t>2017</w:t>
      </w:r>
      <w:r w:rsidR="00150250" w:rsidRPr="00BA53E1">
        <w:rPr>
          <w:rFonts w:asciiTheme="minorEastAsia" w:hAnsiTheme="minorEastAsia" w:cs="Times New Roman" w:hint="eastAsia"/>
          <w:bCs/>
          <w:kern w:val="44"/>
          <w:sz w:val="32"/>
          <w:szCs w:val="32"/>
        </w:rPr>
        <w:t>年收到财政拨入的公积金拨款较</w:t>
      </w:r>
      <w:r w:rsidRPr="00BA53E1">
        <w:rPr>
          <w:rFonts w:asciiTheme="minorEastAsia" w:hAnsiTheme="minorEastAsia" w:cs="Times New Roman" w:hint="eastAsia"/>
          <w:bCs/>
          <w:kern w:val="44"/>
          <w:sz w:val="32"/>
          <w:szCs w:val="32"/>
        </w:rPr>
        <w:t>2016</w:t>
      </w:r>
      <w:r w:rsidR="00150250" w:rsidRPr="00BA53E1">
        <w:rPr>
          <w:rFonts w:asciiTheme="minorEastAsia" w:hAnsiTheme="minorEastAsia" w:cs="Times New Roman" w:hint="eastAsia"/>
          <w:bCs/>
          <w:kern w:val="44"/>
          <w:sz w:val="32"/>
          <w:szCs w:val="32"/>
        </w:rPr>
        <w:t>年有所增加。</w:t>
      </w:r>
    </w:p>
    <w:p w:rsidR="00150250" w:rsidRPr="00E87D90"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9.提租补贴（2210202），</w:t>
      </w:r>
      <w:r w:rsidR="009C50C3" w:rsidRPr="00E87D90">
        <w:rPr>
          <w:rFonts w:asciiTheme="minorEastAsia" w:hAnsiTheme="minorEastAsia" w:cs="Times New Roman" w:hint="eastAsia"/>
          <w:bCs/>
          <w:kern w:val="44"/>
          <w:sz w:val="32"/>
          <w:szCs w:val="32"/>
        </w:rPr>
        <w:t>2017</w:t>
      </w:r>
      <w:r w:rsidR="00EC105F" w:rsidRPr="00E87D90">
        <w:rPr>
          <w:rFonts w:asciiTheme="minorEastAsia" w:hAnsiTheme="minorEastAsia" w:cs="Times New Roman" w:hint="eastAsia"/>
          <w:bCs/>
          <w:kern w:val="44"/>
          <w:sz w:val="32"/>
          <w:szCs w:val="32"/>
        </w:rPr>
        <w:t>年决算数为320.00万元，</w:t>
      </w:r>
      <w:r w:rsidR="009C50C3" w:rsidRPr="00E87D90">
        <w:rPr>
          <w:rFonts w:asciiTheme="minorEastAsia" w:hAnsiTheme="minorEastAsia" w:cs="Times New Roman" w:hint="eastAsia"/>
          <w:bCs/>
          <w:kern w:val="44"/>
          <w:sz w:val="32"/>
          <w:szCs w:val="32"/>
        </w:rPr>
        <w:t>与2016年支出持平</w:t>
      </w:r>
      <w:r w:rsidRPr="00E87D90">
        <w:rPr>
          <w:rFonts w:asciiTheme="minorEastAsia" w:hAnsiTheme="minorEastAsia" w:cs="Times New Roman" w:hint="eastAsia"/>
          <w:bCs/>
          <w:kern w:val="44"/>
          <w:sz w:val="32"/>
          <w:szCs w:val="32"/>
        </w:rPr>
        <w:t>。</w:t>
      </w:r>
    </w:p>
    <w:p w:rsidR="00150250" w:rsidRPr="000307A3" w:rsidRDefault="00150250" w:rsidP="00150250">
      <w:pPr>
        <w:ind w:firstLineChars="200" w:firstLine="640"/>
        <w:rPr>
          <w:rFonts w:asciiTheme="minorEastAsia" w:hAnsiTheme="minorEastAsia" w:cs="Times New Roman"/>
          <w:bCs/>
          <w:kern w:val="44"/>
          <w:sz w:val="32"/>
          <w:szCs w:val="32"/>
        </w:rPr>
      </w:pPr>
      <w:r w:rsidRPr="00E87D90">
        <w:rPr>
          <w:rFonts w:asciiTheme="minorEastAsia" w:hAnsiTheme="minorEastAsia" w:cs="Times New Roman" w:hint="eastAsia"/>
          <w:bCs/>
          <w:kern w:val="44"/>
          <w:sz w:val="32"/>
          <w:szCs w:val="32"/>
        </w:rPr>
        <w:t>10.购房补贴（2210203），</w:t>
      </w:r>
      <w:r w:rsidR="009C50C3" w:rsidRPr="00E87D90">
        <w:rPr>
          <w:rFonts w:asciiTheme="minorEastAsia" w:hAnsiTheme="minorEastAsia" w:cs="Times New Roman" w:hint="eastAsia"/>
          <w:bCs/>
          <w:kern w:val="44"/>
          <w:sz w:val="32"/>
          <w:szCs w:val="32"/>
        </w:rPr>
        <w:t>2017</w:t>
      </w:r>
      <w:r w:rsidR="00B33351" w:rsidRPr="00E87D90">
        <w:rPr>
          <w:rFonts w:asciiTheme="minorEastAsia" w:hAnsiTheme="minorEastAsia" w:cs="Times New Roman" w:hint="eastAsia"/>
          <w:bCs/>
          <w:kern w:val="44"/>
          <w:sz w:val="32"/>
          <w:szCs w:val="32"/>
        </w:rPr>
        <w:t>年决算数为</w:t>
      </w:r>
      <w:r w:rsidR="009C50C3" w:rsidRPr="00E87D90">
        <w:rPr>
          <w:rFonts w:asciiTheme="minorEastAsia" w:hAnsiTheme="minorEastAsia" w:cs="Times New Roman"/>
          <w:bCs/>
          <w:kern w:val="44"/>
          <w:sz w:val="32"/>
          <w:szCs w:val="32"/>
        </w:rPr>
        <w:t>1,886.71</w:t>
      </w:r>
      <w:r w:rsidR="00B33351" w:rsidRPr="00E87D90">
        <w:rPr>
          <w:rFonts w:asciiTheme="minorEastAsia" w:hAnsiTheme="minorEastAsia" w:cs="Times New Roman" w:hint="eastAsia"/>
          <w:bCs/>
          <w:kern w:val="44"/>
          <w:sz w:val="32"/>
          <w:szCs w:val="32"/>
        </w:rPr>
        <w:t>万元，较</w:t>
      </w:r>
      <w:r w:rsidR="009C50C3" w:rsidRPr="00E87D90">
        <w:rPr>
          <w:rFonts w:asciiTheme="minorEastAsia" w:hAnsiTheme="minorEastAsia" w:cs="Times New Roman" w:hint="eastAsia"/>
          <w:bCs/>
          <w:kern w:val="44"/>
          <w:sz w:val="32"/>
          <w:szCs w:val="32"/>
        </w:rPr>
        <w:t>2016</w:t>
      </w:r>
      <w:r w:rsidR="00B33351" w:rsidRPr="00E87D90">
        <w:rPr>
          <w:rFonts w:asciiTheme="minorEastAsia" w:hAnsiTheme="minorEastAsia" w:cs="Times New Roman" w:hint="eastAsia"/>
          <w:bCs/>
          <w:kern w:val="44"/>
          <w:sz w:val="32"/>
          <w:szCs w:val="32"/>
        </w:rPr>
        <w:t>年决算数</w:t>
      </w:r>
      <w:r w:rsidR="009C50C3" w:rsidRPr="00E87D90">
        <w:rPr>
          <w:rFonts w:asciiTheme="minorEastAsia" w:hAnsiTheme="minorEastAsia" w:cs="Times New Roman"/>
          <w:bCs/>
          <w:kern w:val="44"/>
          <w:sz w:val="32"/>
          <w:szCs w:val="32"/>
        </w:rPr>
        <w:t>1,800.32</w:t>
      </w:r>
      <w:r w:rsidRPr="00E87D90">
        <w:rPr>
          <w:rFonts w:asciiTheme="minorEastAsia" w:hAnsiTheme="minorEastAsia" w:cs="Times New Roman" w:hint="eastAsia"/>
          <w:bCs/>
          <w:kern w:val="44"/>
          <w:sz w:val="32"/>
          <w:szCs w:val="32"/>
        </w:rPr>
        <w:t>万元</w:t>
      </w:r>
      <w:r w:rsidR="00B33351" w:rsidRPr="00E87D90">
        <w:rPr>
          <w:rFonts w:asciiTheme="minorEastAsia" w:hAnsiTheme="minorEastAsia" w:cs="Times New Roman" w:hint="eastAsia"/>
          <w:bCs/>
          <w:kern w:val="44"/>
          <w:sz w:val="32"/>
          <w:szCs w:val="32"/>
        </w:rPr>
        <w:t>增加</w:t>
      </w:r>
      <w:r w:rsidR="009C50C3" w:rsidRPr="00E87D90">
        <w:rPr>
          <w:rFonts w:asciiTheme="minorEastAsia" w:hAnsiTheme="minorEastAsia" w:cs="Times New Roman"/>
          <w:bCs/>
          <w:kern w:val="44"/>
          <w:sz w:val="32"/>
          <w:szCs w:val="32"/>
        </w:rPr>
        <w:t>86.39</w:t>
      </w:r>
      <w:r w:rsidR="00B33351" w:rsidRPr="00E87D90">
        <w:rPr>
          <w:rFonts w:asciiTheme="minorEastAsia" w:hAnsiTheme="minorEastAsia" w:cs="Times New Roman" w:hint="eastAsia"/>
          <w:bCs/>
          <w:kern w:val="44"/>
          <w:sz w:val="32"/>
          <w:szCs w:val="32"/>
        </w:rPr>
        <w:t>万元，增</w:t>
      </w:r>
      <w:r w:rsidR="00B33351" w:rsidRPr="00E87D90">
        <w:rPr>
          <w:rFonts w:asciiTheme="minorEastAsia" w:hAnsiTheme="minorEastAsia" w:cs="Times New Roman" w:hint="eastAsia"/>
          <w:bCs/>
          <w:kern w:val="44"/>
          <w:sz w:val="32"/>
          <w:szCs w:val="32"/>
        </w:rPr>
        <w:lastRenderedPageBreak/>
        <w:t>幅</w:t>
      </w:r>
      <w:r w:rsidR="009C50C3" w:rsidRPr="00E87D90">
        <w:rPr>
          <w:rFonts w:asciiTheme="minorEastAsia" w:hAnsiTheme="minorEastAsia" w:cs="Times New Roman"/>
          <w:bCs/>
          <w:kern w:val="44"/>
          <w:sz w:val="32"/>
          <w:szCs w:val="32"/>
        </w:rPr>
        <w:t>4.80%</w:t>
      </w:r>
      <w:r w:rsidR="00B33351" w:rsidRPr="00E87D90">
        <w:rPr>
          <w:rFonts w:asciiTheme="minorEastAsia" w:hAnsiTheme="minorEastAsia" w:cs="Times New Roman" w:hint="eastAsia"/>
          <w:bCs/>
          <w:kern w:val="44"/>
          <w:sz w:val="32"/>
          <w:szCs w:val="32"/>
        </w:rPr>
        <w:t>。</w:t>
      </w:r>
      <w:r w:rsidRPr="00E87D90">
        <w:rPr>
          <w:rFonts w:asciiTheme="minorEastAsia" w:hAnsiTheme="minorEastAsia" w:cs="Times New Roman" w:hint="eastAsia"/>
          <w:bCs/>
          <w:kern w:val="44"/>
          <w:sz w:val="32"/>
          <w:szCs w:val="32"/>
        </w:rPr>
        <w:t>主要原因是学校</w:t>
      </w:r>
      <w:r w:rsidR="009C50C3" w:rsidRPr="00E87D90">
        <w:rPr>
          <w:rFonts w:asciiTheme="minorEastAsia" w:hAnsiTheme="minorEastAsia" w:cs="Times New Roman" w:hint="eastAsia"/>
          <w:bCs/>
          <w:kern w:val="44"/>
          <w:sz w:val="32"/>
          <w:szCs w:val="32"/>
        </w:rPr>
        <w:t>2017</w:t>
      </w:r>
      <w:r w:rsidRPr="00E87D90">
        <w:rPr>
          <w:rFonts w:asciiTheme="minorEastAsia" w:hAnsiTheme="minorEastAsia" w:cs="Times New Roman" w:hint="eastAsia"/>
          <w:bCs/>
          <w:kern w:val="44"/>
          <w:sz w:val="32"/>
          <w:szCs w:val="32"/>
        </w:rPr>
        <w:t>年收到财政拨入的购房补贴拨款较</w:t>
      </w:r>
      <w:r w:rsidR="009C50C3" w:rsidRPr="00E87D90">
        <w:rPr>
          <w:rFonts w:asciiTheme="minorEastAsia" w:hAnsiTheme="minorEastAsia" w:cs="Times New Roman" w:hint="eastAsia"/>
          <w:bCs/>
          <w:kern w:val="44"/>
          <w:sz w:val="32"/>
          <w:szCs w:val="32"/>
        </w:rPr>
        <w:t>2016</w:t>
      </w:r>
      <w:r w:rsidR="009A5687" w:rsidRPr="00E87D90">
        <w:rPr>
          <w:rFonts w:asciiTheme="minorEastAsia" w:hAnsiTheme="minorEastAsia" w:cs="Times New Roman" w:hint="eastAsia"/>
          <w:bCs/>
          <w:kern w:val="44"/>
          <w:sz w:val="32"/>
          <w:szCs w:val="32"/>
        </w:rPr>
        <w:t>年有所增加，增加数主要用于</w:t>
      </w:r>
      <w:r w:rsidR="00487F2B" w:rsidRPr="00E87D90">
        <w:rPr>
          <w:rFonts w:asciiTheme="minorEastAsia" w:hAnsiTheme="minorEastAsia" w:cs="Times New Roman" w:hint="eastAsia"/>
          <w:bCs/>
          <w:kern w:val="44"/>
          <w:sz w:val="32"/>
          <w:szCs w:val="32"/>
        </w:rPr>
        <w:t>因职务调整</w:t>
      </w:r>
      <w:r w:rsidR="009A5687" w:rsidRPr="00E87D90">
        <w:rPr>
          <w:rFonts w:asciiTheme="minorEastAsia" w:hAnsiTheme="minorEastAsia" w:cs="Times New Roman" w:hint="eastAsia"/>
          <w:bCs/>
          <w:kern w:val="44"/>
          <w:sz w:val="32"/>
          <w:szCs w:val="32"/>
        </w:rPr>
        <w:t>发放</w:t>
      </w:r>
      <w:r w:rsidR="00487F2B" w:rsidRPr="00E87D90">
        <w:rPr>
          <w:rFonts w:asciiTheme="minorEastAsia" w:hAnsiTheme="minorEastAsia" w:cs="Times New Roman" w:hint="eastAsia"/>
          <w:bCs/>
          <w:kern w:val="44"/>
          <w:sz w:val="32"/>
          <w:szCs w:val="32"/>
        </w:rPr>
        <w:t>的</w:t>
      </w:r>
      <w:r w:rsidR="009A5687" w:rsidRPr="00E87D90">
        <w:rPr>
          <w:rFonts w:asciiTheme="minorEastAsia" w:hAnsiTheme="minorEastAsia" w:cs="Times New Roman" w:hint="eastAsia"/>
          <w:bCs/>
          <w:kern w:val="44"/>
          <w:sz w:val="32"/>
          <w:szCs w:val="32"/>
        </w:rPr>
        <w:t>住房级差补贴等。</w:t>
      </w:r>
    </w:p>
    <w:p w:rsidR="00150250" w:rsidRPr="000307A3" w:rsidRDefault="00150250" w:rsidP="000307A3">
      <w:pPr>
        <w:pStyle w:val="1"/>
        <w:ind w:firstLineChars="200" w:firstLine="643"/>
        <w:rPr>
          <w:rFonts w:ascii="Times New Roman" w:eastAsia="黑体" w:hAnsi="黑体" w:cs="Times New Roman"/>
          <w:sz w:val="32"/>
          <w:szCs w:val="32"/>
        </w:rPr>
      </w:pPr>
      <w:bookmarkStart w:id="14" w:name="_Toc520369787"/>
      <w:r w:rsidRPr="000307A3">
        <w:rPr>
          <w:rFonts w:ascii="Times New Roman" w:eastAsia="黑体" w:hAnsi="黑体" w:cs="Times New Roman" w:hint="eastAsia"/>
          <w:sz w:val="32"/>
          <w:szCs w:val="32"/>
        </w:rPr>
        <w:t>四、名词解释</w:t>
      </w:r>
      <w:bookmarkEnd w:id="14"/>
    </w:p>
    <w:p w:rsidR="00150250" w:rsidRPr="000307A3" w:rsidRDefault="00150250" w:rsidP="001910F3">
      <w:pPr>
        <w:pStyle w:val="2"/>
        <w:ind w:firstLineChars="200" w:firstLine="641"/>
        <w:rPr>
          <w:rFonts w:asciiTheme="minorEastAsia" w:eastAsiaTheme="minorEastAsia" w:hAnsiTheme="minorEastAsia" w:cs="Times New Roman"/>
          <w:bCs w:val="0"/>
          <w:kern w:val="44"/>
        </w:rPr>
      </w:pPr>
      <w:bookmarkStart w:id="15" w:name="_Toc520369788"/>
      <w:r w:rsidRPr="000307A3">
        <w:rPr>
          <w:rFonts w:ascii="Times New Roman" w:eastAsia="华文楷体" w:hAnsi="华文楷体" w:cs="Times New Roman" w:hint="eastAsia"/>
        </w:rPr>
        <w:t>（一）支出功能分类科目说明</w:t>
      </w:r>
      <w:bookmarkEnd w:id="15"/>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决算收支表中的“科目名称”和“科目编码”是指在政府收支分类体系中按照支出功能分类划分的各项内容，是综合反映政府职能活动的分类，其中：</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1.</w:t>
      </w:r>
      <w:r w:rsidR="00B25D29" w:rsidRPr="00B25D29">
        <w:rPr>
          <w:rFonts w:hint="eastAsia"/>
        </w:rPr>
        <w:t xml:space="preserve"> </w:t>
      </w:r>
      <w:r w:rsidR="00B25D29" w:rsidRPr="00B25D29">
        <w:rPr>
          <w:rFonts w:asciiTheme="minorEastAsia" w:hAnsiTheme="minorEastAsia" w:cs="Times New Roman" w:hint="eastAsia"/>
          <w:bCs/>
          <w:kern w:val="44"/>
          <w:sz w:val="32"/>
          <w:szCs w:val="32"/>
        </w:rPr>
        <w:t>一般行政管理事务（2050102）：反映行政单位（</w:t>
      </w:r>
      <w:r w:rsidR="007D30B2">
        <w:rPr>
          <w:rFonts w:asciiTheme="minorEastAsia" w:hAnsiTheme="minorEastAsia" w:cs="Times New Roman" w:hint="eastAsia"/>
          <w:bCs/>
          <w:kern w:val="44"/>
          <w:sz w:val="32"/>
          <w:szCs w:val="32"/>
        </w:rPr>
        <w:t>包括实行公务员管理的事业单位）未单独设置项级科目的其他项目支出。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2.高等教育（2050205）：</w:t>
      </w:r>
      <w:r w:rsidR="00B25D29" w:rsidRPr="00B25D29">
        <w:rPr>
          <w:rFonts w:asciiTheme="minorEastAsia" w:hAnsiTheme="minorEastAsia" w:cs="Times New Roman" w:hint="eastAsia"/>
          <w:bCs/>
          <w:kern w:val="44"/>
          <w:sz w:val="32"/>
          <w:szCs w:val="32"/>
        </w:rPr>
        <w:t>反映的是经国家批准设立的中央和省、自</w:t>
      </w:r>
      <w:r w:rsidR="007D30B2">
        <w:rPr>
          <w:rFonts w:asciiTheme="minorEastAsia" w:hAnsiTheme="minorEastAsia" w:cs="Times New Roman" w:hint="eastAsia"/>
          <w:bCs/>
          <w:kern w:val="44"/>
          <w:sz w:val="32"/>
          <w:szCs w:val="32"/>
        </w:rPr>
        <w:t>治区、直辖市各部门所属的全日制普通高等院校（包括研究生）的支出。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3.来华留学教育（2050602</w:t>
      </w:r>
      <w:r w:rsidR="007D30B2">
        <w:rPr>
          <w:rFonts w:asciiTheme="minorEastAsia" w:hAnsiTheme="minorEastAsia" w:cs="Times New Roman" w:hint="eastAsia"/>
          <w:bCs/>
          <w:kern w:val="44"/>
          <w:sz w:val="32"/>
          <w:szCs w:val="32"/>
        </w:rPr>
        <w:t>）：反映资助来华留学生支出。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4.其他教育支出（2059999）：反映除教育事务管理、普通</w:t>
      </w:r>
      <w:r w:rsidR="007D30B2">
        <w:rPr>
          <w:rFonts w:asciiTheme="minorEastAsia" w:hAnsiTheme="minorEastAsia" w:cs="Times New Roman" w:hint="eastAsia"/>
          <w:bCs/>
          <w:kern w:val="44"/>
          <w:sz w:val="32"/>
          <w:szCs w:val="32"/>
        </w:rPr>
        <w:t>教育等上述项目以外的其他用于教育方面的支出。</w:t>
      </w:r>
    </w:p>
    <w:p w:rsidR="00150250" w:rsidRDefault="00513866"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t>5</w:t>
      </w:r>
      <w:r w:rsidR="00150250" w:rsidRPr="000307A3">
        <w:rPr>
          <w:rFonts w:asciiTheme="minorEastAsia" w:hAnsiTheme="minorEastAsia" w:cs="Times New Roman" w:hint="eastAsia"/>
          <w:bCs/>
          <w:kern w:val="44"/>
          <w:sz w:val="32"/>
          <w:szCs w:val="32"/>
        </w:rPr>
        <w:t>.其他基础研究（2060299</w:t>
      </w:r>
      <w:r w:rsidR="007D30B2">
        <w:rPr>
          <w:rFonts w:asciiTheme="minorEastAsia" w:hAnsiTheme="minorEastAsia" w:cs="Times New Roman" w:hint="eastAsia"/>
          <w:bCs/>
          <w:kern w:val="44"/>
          <w:sz w:val="32"/>
          <w:szCs w:val="32"/>
        </w:rPr>
        <w:t>）：反映其他用于基础研究工作的支出。</w:t>
      </w:r>
    </w:p>
    <w:p w:rsidR="009C50C3" w:rsidRPr="009C50C3" w:rsidRDefault="00513866" w:rsidP="00150250">
      <w:pPr>
        <w:ind w:firstLineChars="200" w:firstLine="640"/>
        <w:rPr>
          <w:rFonts w:asciiTheme="minorEastAsia" w:hAnsiTheme="minorEastAsia" w:cs="Times New Roman"/>
          <w:bCs/>
          <w:kern w:val="44"/>
          <w:sz w:val="32"/>
          <w:szCs w:val="32"/>
        </w:rPr>
      </w:pPr>
      <w:r>
        <w:rPr>
          <w:rFonts w:asciiTheme="minorEastAsia" w:hAnsiTheme="minorEastAsia" w:cs="Times New Roman" w:hint="eastAsia"/>
          <w:bCs/>
          <w:kern w:val="44"/>
          <w:sz w:val="32"/>
          <w:szCs w:val="32"/>
        </w:rPr>
        <w:lastRenderedPageBreak/>
        <w:t>6</w:t>
      </w:r>
      <w:r w:rsidR="009C50C3">
        <w:rPr>
          <w:rFonts w:asciiTheme="minorEastAsia" w:hAnsiTheme="minorEastAsia" w:cs="Times New Roman" w:hint="eastAsia"/>
          <w:bCs/>
          <w:kern w:val="44"/>
          <w:sz w:val="32"/>
          <w:szCs w:val="32"/>
        </w:rPr>
        <w:t>.</w:t>
      </w:r>
      <w:r w:rsidR="009C50C3" w:rsidRPr="009C50C3">
        <w:rPr>
          <w:rFonts w:hint="eastAsia"/>
        </w:rPr>
        <w:t xml:space="preserve"> </w:t>
      </w:r>
      <w:r w:rsidR="009C50C3" w:rsidRPr="009C50C3">
        <w:rPr>
          <w:rFonts w:asciiTheme="minorEastAsia" w:hAnsiTheme="minorEastAsia" w:cs="Times New Roman" w:hint="eastAsia"/>
          <w:bCs/>
          <w:kern w:val="44"/>
          <w:sz w:val="32"/>
          <w:szCs w:val="32"/>
        </w:rPr>
        <w:t>文化产业发展专项支出（2079903）：反映</w:t>
      </w:r>
      <w:r w:rsidR="007D30B2">
        <w:rPr>
          <w:rFonts w:asciiTheme="minorEastAsia" w:hAnsiTheme="minorEastAsia" w:cs="Times New Roman" w:hint="eastAsia"/>
          <w:bCs/>
          <w:kern w:val="44"/>
          <w:sz w:val="32"/>
          <w:szCs w:val="32"/>
        </w:rPr>
        <w:t>支持文化产业发展专项支出。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7. 能源节约利用（2111001</w:t>
      </w:r>
      <w:r w:rsidR="007D30B2">
        <w:rPr>
          <w:rFonts w:asciiTheme="minorEastAsia" w:hAnsiTheme="minorEastAsia" w:cs="Times New Roman" w:hint="eastAsia"/>
          <w:bCs/>
          <w:kern w:val="44"/>
          <w:sz w:val="32"/>
          <w:szCs w:val="32"/>
        </w:rPr>
        <w:t>）：反映用于能源节约利用方面的支出。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8.住房公积金（2210201）：反映行政事业单位按人力资源和社会保障部、财</w:t>
      </w:r>
      <w:r w:rsidR="007D30B2">
        <w:rPr>
          <w:rFonts w:asciiTheme="minorEastAsia" w:hAnsiTheme="minorEastAsia" w:cs="Times New Roman" w:hint="eastAsia"/>
          <w:bCs/>
          <w:kern w:val="44"/>
          <w:sz w:val="32"/>
          <w:szCs w:val="32"/>
        </w:rPr>
        <w:t>政部规定的基本工资和津贴补贴以及规定比例为职工缴纳的住房公积金。</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9.提租补贴（2210202）：反映按房改政策规定的标准，行政事业单位向职工（含离退休人员）发放的租金补</w:t>
      </w:r>
      <w:r w:rsidR="007D30B2">
        <w:rPr>
          <w:rFonts w:asciiTheme="minorEastAsia" w:hAnsiTheme="minorEastAsia" w:cs="Times New Roman" w:hint="eastAsia"/>
          <w:bCs/>
          <w:kern w:val="44"/>
          <w:sz w:val="32"/>
          <w:szCs w:val="32"/>
        </w:rPr>
        <w:t>贴。</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10.购房补贴（2210203）：反映按房改政策规定，行政事业单位向符合条件职工（含离退休人员）、军队（含武警）向转役复员离退休人员发放的用于购买住房的补贴。</w:t>
      </w:r>
    </w:p>
    <w:p w:rsidR="00150250" w:rsidRPr="000307A3" w:rsidRDefault="00150250" w:rsidP="001910F3">
      <w:pPr>
        <w:pStyle w:val="2"/>
        <w:ind w:firstLineChars="200" w:firstLine="641"/>
        <w:rPr>
          <w:rFonts w:asciiTheme="minorEastAsia" w:eastAsiaTheme="minorEastAsia" w:hAnsiTheme="minorEastAsia" w:cs="Times New Roman"/>
          <w:bCs w:val="0"/>
          <w:kern w:val="44"/>
        </w:rPr>
      </w:pPr>
      <w:bookmarkStart w:id="16" w:name="_Toc520369789"/>
      <w:r w:rsidRPr="000307A3">
        <w:rPr>
          <w:rFonts w:ascii="Times New Roman" w:eastAsia="华文楷体" w:hAnsi="华文楷体" w:cs="Times New Roman" w:hint="eastAsia"/>
        </w:rPr>
        <w:t>（二）收入科目</w:t>
      </w:r>
      <w:bookmarkEnd w:id="16"/>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1.财政拨款收入：指高等学校当年从同级财政部门取得的各类财政拨款。包括财政教育拨款、财政科研拨款和财政其他拨款。</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2.上级补助收入：指高等学校从主管部门和上级单位取得的非财政补助收入。</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3.事业收入：指高等学校开展教学、科研及其辅助活动取得的收入。包括教育事业收入和科研事业收入。教育事业收入主要包括普通高中学费，普通高中住宿费，高等学校学</w:t>
      </w:r>
      <w:r w:rsidRPr="00B25D29">
        <w:rPr>
          <w:rFonts w:asciiTheme="minorEastAsia" w:hAnsiTheme="minorEastAsia" w:cs="Times New Roman" w:hint="eastAsia"/>
          <w:bCs/>
          <w:kern w:val="44"/>
          <w:sz w:val="32"/>
          <w:szCs w:val="32"/>
        </w:rPr>
        <w:lastRenderedPageBreak/>
        <w:t>费，高等学校住宿费，高等学校委托培养费，短训班培训费和考试考务费；科研事业收入主要包括除教育部财政科研拨款以外的中央和地方科研经费拨款，以及通过承接科研项目、开展科研协作、转化科技成果、进行科技咨询等取得的收入。</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4.经营收入：指高等学校在教学、科研活动及其辅助活动之外开展非独立核算经营活动取得的收入。</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5.附属单位缴款：指高等学校附属单位按照有关规定上缴的收入。</w:t>
      </w:r>
    </w:p>
    <w:p w:rsidR="00150250" w:rsidRPr="000307A3"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6.其他收入:指高等学校取得的除上述收入以外的各项收入，主要包括非同级财政拨款、投资收益、捐赠收入、租金收入、银行存款利息收入、现金盘盈收入和存货盘盈收入等。</w:t>
      </w:r>
    </w:p>
    <w:p w:rsidR="00150250" w:rsidRPr="000307A3" w:rsidRDefault="00150250" w:rsidP="001910F3">
      <w:pPr>
        <w:pStyle w:val="2"/>
        <w:ind w:firstLineChars="200" w:firstLine="641"/>
        <w:rPr>
          <w:rFonts w:asciiTheme="minorEastAsia" w:eastAsiaTheme="minorEastAsia" w:hAnsiTheme="minorEastAsia" w:cs="Times New Roman"/>
          <w:bCs w:val="0"/>
          <w:kern w:val="44"/>
        </w:rPr>
      </w:pPr>
      <w:bookmarkStart w:id="17" w:name="_Toc520369790"/>
      <w:r w:rsidRPr="000307A3">
        <w:rPr>
          <w:rFonts w:ascii="Times New Roman" w:eastAsia="华文楷体" w:hAnsi="华文楷体" w:cs="Times New Roman" w:hint="eastAsia"/>
        </w:rPr>
        <w:t>（三）支出科目</w:t>
      </w:r>
      <w:bookmarkEnd w:id="17"/>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1.基本支出：指高等学校为了保障其正常运转、完成教学科研和其他日常工作任务而发生的支出，包括人员支出和公用支出。</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2.项目支出：指高等学校为了完成特定工作任务和事业发展目标，在基本支出之外所发生的支出。</w:t>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3.上缴上级支出：指高等学校按照财政部门和主管部门的规定上缴上级单位的支出。</w:t>
      </w:r>
      <w:r w:rsidRPr="00B25D29">
        <w:rPr>
          <w:rFonts w:asciiTheme="minorEastAsia" w:hAnsiTheme="minorEastAsia" w:cs="Times New Roman" w:hint="eastAsia"/>
          <w:bCs/>
          <w:kern w:val="44"/>
          <w:sz w:val="32"/>
          <w:szCs w:val="32"/>
        </w:rPr>
        <w:tab/>
      </w:r>
    </w:p>
    <w:p w:rsidR="00B25D29" w:rsidRPr="00B25D29"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4.经营支出：指高等学校在教学、科研及其辅助活动之</w:t>
      </w:r>
      <w:r w:rsidRPr="00B25D29">
        <w:rPr>
          <w:rFonts w:asciiTheme="minorEastAsia" w:hAnsiTheme="minorEastAsia" w:cs="Times New Roman" w:hint="eastAsia"/>
          <w:bCs/>
          <w:kern w:val="44"/>
          <w:sz w:val="32"/>
          <w:szCs w:val="32"/>
        </w:rPr>
        <w:lastRenderedPageBreak/>
        <w:t>外开展非独立核算经营活动发生的支出。</w:t>
      </w:r>
    </w:p>
    <w:p w:rsidR="00700272" w:rsidRPr="000307A3" w:rsidRDefault="00B25D29" w:rsidP="00B25D29">
      <w:pPr>
        <w:ind w:firstLineChars="200" w:firstLine="640"/>
        <w:rPr>
          <w:rFonts w:asciiTheme="minorEastAsia" w:hAnsiTheme="minorEastAsia" w:cs="Times New Roman"/>
          <w:sz w:val="32"/>
          <w:szCs w:val="32"/>
        </w:rPr>
      </w:pPr>
      <w:r w:rsidRPr="00B25D29">
        <w:rPr>
          <w:rFonts w:asciiTheme="minorEastAsia" w:hAnsiTheme="minorEastAsia" w:cs="Times New Roman" w:hint="eastAsia"/>
          <w:bCs/>
          <w:kern w:val="44"/>
          <w:sz w:val="32"/>
          <w:szCs w:val="32"/>
        </w:rPr>
        <w:t>5.对下级单位补助支出：指高等学校用财政补助收入之外的收入对附属单位补助发生的支出。</w:t>
      </w:r>
    </w:p>
    <w:sectPr w:rsidR="00700272" w:rsidRPr="000307A3" w:rsidSect="004831D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B8" w:rsidRDefault="000E01B8" w:rsidP="00DC0A9E">
      <w:r>
        <w:separator/>
      </w:r>
    </w:p>
  </w:endnote>
  <w:endnote w:type="continuationSeparator" w:id="0">
    <w:p w:rsidR="000E01B8" w:rsidRDefault="000E01B8" w:rsidP="00DC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8F" w:rsidRDefault="00C2108F">
    <w:pPr>
      <w:pStyle w:val="a5"/>
      <w:jc w:val="center"/>
    </w:pPr>
  </w:p>
  <w:p w:rsidR="00C2108F" w:rsidRDefault="00C210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8F" w:rsidRDefault="00C2108F">
    <w:pPr>
      <w:pStyle w:val="a5"/>
      <w:jc w:val="center"/>
    </w:pPr>
  </w:p>
  <w:p w:rsidR="00C2108F" w:rsidRDefault="00C210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561"/>
      <w:docPartObj>
        <w:docPartGallery w:val="Page Numbers (Bottom of Page)"/>
        <w:docPartUnique/>
      </w:docPartObj>
    </w:sdtPr>
    <w:sdtEndPr/>
    <w:sdtContent>
      <w:p w:rsidR="00C2108F" w:rsidRDefault="00C2108F">
        <w:pPr>
          <w:pStyle w:val="a5"/>
          <w:jc w:val="center"/>
        </w:pPr>
        <w:r>
          <w:fldChar w:fldCharType="begin"/>
        </w:r>
        <w:r>
          <w:instrText>PAGE   \* MERGEFORMAT</w:instrText>
        </w:r>
        <w:r>
          <w:fldChar w:fldCharType="separate"/>
        </w:r>
        <w:r w:rsidR="004376D9" w:rsidRPr="004376D9">
          <w:rPr>
            <w:noProof/>
            <w:lang w:val="zh-CN"/>
          </w:rPr>
          <w:t>18</w:t>
        </w:r>
        <w:r>
          <w:fldChar w:fldCharType="end"/>
        </w:r>
      </w:p>
    </w:sdtContent>
  </w:sdt>
  <w:p w:rsidR="00C2108F" w:rsidRDefault="00C210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B8" w:rsidRDefault="000E01B8" w:rsidP="00DC0A9E">
      <w:r>
        <w:separator/>
      </w:r>
    </w:p>
  </w:footnote>
  <w:footnote w:type="continuationSeparator" w:id="0">
    <w:p w:rsidR="000E01B8" w:rsidRDefault="000E01B8" w:rsidP="00DC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9E0"/>
    <w:multiLevelType w:val="hybridMultilevel"/>
    <w:tmpl w:val="054ECF78"/>
    <w:lvl w:ilvl="0" w:tplc="3B30F3B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59005E7"/>
    <w:multiLevelType w:val="hybridMultilevel"/>
    <w:tmpl w:val="0E08B27E"/>
    <w:lvl w:ilvl="0" w:tplc="F274E090">
      <w:start w:val="1"/>
      <w:numFmt w:val="none"/>
      <w:lvlText w:val="一、"/>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7C03F0"/>
    <w:multiLevelType w:val="hybridMultilevel"/>
    <w:tmpl w:val="9D48630C"/>
    <w:lvl w:ilvl="0" w:tplc="AAFAD6B0">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927FC2"/>
    <w:multiLevelType w:val="hybridMultilevel"/>
    <w:tmpl w:val="A406008E"/>
    <w:lvl w:ilvl="0" w:tplc="B826302C">
      <w:start w:val="5"/>
      <w:numFmt w:val="none"/>
      <w:lvlText w:val="五、"/>
      <w:lvlJc w:val="left"/>
      <w:pPr>
        <w:ind w:left="3572" w:hanging="297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101D5396"/>
    <w:multiLevelType w:val="hybridMultilevel"/>
    <w:tmpl w:val="2B7826BC"/>
    <w:lvl w:ilvl="0" w:tplc="0722E0BC">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275183C"/>
    <w:multiLevelType w:val="hybridMultilevel"/>
    <w:tmpl w:val="7554B104"/>
    <w:lvl w:ilvl="0" w:tplc="7C12660C">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A0C5C01"/>
    <w:multiLevelType w:val="hybridMultilevel"/>
    <w:tmpl w:val="9A704AC8"/>
    <w:lvl w:ilvl="0" w:tplc="6472EA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C3A6C46"/>
    <w:multiLevelType w:val="hybridMultilevel"/>
    <w:tmpl w:val="3086E47A"/>
    <w:lvl w:ilvl="0" w:tplc="2144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FA2B7C"/>
    <w:multiLevelType w:val="hybridMultilevel"/>
    <w:tmpl w:val="1F44F292"/>
    <w:lvl w:ilvl="0" w:tplc="BB368B28">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D13510D"/>
    <w:multiLevelType w:val="hybridMultilevel"/>
    <w:tmpl w:val="1A64D236"/>
    <w:lvl w:ilvl="0" w:tplc="0908EC9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90A5A4C"/>
    <w:multiLevelType w:val="hybridMultilevel"/>
    <w:tmpl w:val="58925FDC"/>
    <w:lvl w:ilvl="0" w:tplc="F6D29A3C">
      <w:start w:val="2012"/>
      <w:numFmt w:val="decimal"/>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A3F16C9"/>
    <w:multiLevelType w:val="hybridMultilevel"/>
    <w:tmpl w:val="54FCBB48"/>
    <w:lvl w:ilvl="0" w:tplc="0D26C9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F6B7532"/>
    <w:multiLevelType w:val="hybridMultilevel"/>
    <w:tmpl w:val="B75E3ABE"/>
    <w:lvl w:ilvl="0" w:tplc="6E7AD964">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4C2A56"/>
    <w:multiLevelType w:val="hybridMultilevel"/>
    <w:tmpl w:val="7B2A9F98"/>
    <w:lvl w:ilvl="0" w:tplc="C6E25B7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1A5374E"/>
    <w:multiLevelType w:val="hybridMultilevel"/>
    <w:tmpl w:val="D2CEA0A2"/>
    <w:lvl w:ilvl="0" w:tplc="4F4A279C">
      <w:start w:val="1"/>
      <w:numFmt w:val="japaneseCounting"/>
      <w:lvlText w:val="%1、"/>
      <w:lvlJc w:val="left"/>
      <w:pPr>
        <w:ind w:left="1360" w:hanging="720"/>
      </w:pPr>
      <w:rPr>
        <w:rFonts w:ascii="黑体" w:eastAsia="黑体" w:hAnsi="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56C349C"/>
    <w:multiLevelType w:val="hybridMultilevel"/>
    <w:tmpl w:val="4EE61FB8"/>
    <w:lvl w:ilvl="0" w:tplc="CFFA2A36">
      <w:start w:val="1"/>
      <w:numFmt w:val="none"/>
      <w:lvlText w:val="一、"/>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67835382"/>
    <w:multiLevelType w:val="hybridMultilevel"/>
    <w:tmpl w:val="875C7882"/>
    <w:lvl w:ilvl="0" w:tplc="37DECDD2">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B30525A"/>
    <w:multiLevelType w:val="hybridMultilevel"/>
    <w:tmpl w:val="CE10C81A"/>
    <w:lvl w:ilvl="0" w:tplc="06786D0C">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F7212E"/>
    <w:multiLevelType w:val="hybridMultilevel"/>
    <w:tmpl w:val="D1C63906"/>
    <w:lvl w:ilvl="0" w:tplc="E132E9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249231B"/>
    <w:multiLevelType w:val="hybridMultilevel"/>
    <w:tmpl w:val="4B662000"/>
    <w:lvl w:ilvl="0" w:tplc="FCC6E85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BCA5A5B"/>
    <w:multiLevelType w:val="hybridMultilevel"/>
    <w:tmpl w:val="858CEF3C"/>
    <w:lvl w:ilvl="0" w:tplc="4948E234">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9"/>
  </w:num>
  <w:num w:numId="3">
    <w:abstractNumId w:val="10"/>
  </w:num>
  <w:num w:numId="4">
    <w:abstractNumId w:val="1"/>
  </w:num>
  <w:num w:numId="5">
    <w:abstractNumId w:val="18"/>
  </w:num>
  <w:num w:numId="6">
    <w:abstractNumId w:val="6"/>
  </w:num>
  <w:num w:numId="7">
    <w:abstractNumId w:val="12"/>
  </w:num>
  <w:num w:numId="8">
    <w:abstractNumId w:val="3"/>
  </w:num>
  <w:num w:numId="9">
    <w:abstractNumId w:val="14"/>
  </w:num>
  <w:num w:numId="10">
    <w:abstractNumId w:val="0"/>
  </w:num>
  <w:num w:numId="11">
    <w:abstractNumId w:val="8"/>
  </w:num>
  <w:num w:numId="12">
    <w:abstractNumId w:val="5"/>
  </w:num>
  <w:num w:numId="13">
    <w:abstractNumId w:val="16"/>
  </w:num>
  <w:num w:numId="14">
    <w:abstractNumId w:val="4"/>
  </w:num>
  <w:num w:numId="15">
    <w:abstractNumId w:val="20"/>
  </w:num>
  <w:num w:numId="16">
    <w:abstractNumId w:val="2"/>
  </w:num>
  <w:num w:numId="17">
    <w:abstractNumId w:val="13"/>
  </w:num>
  <w:num w:numId="18">
    <w:abstractNumId w:val="19"/>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38"/>
    <w:rsid w:val="00001382"/>
    <w:rsid w:val="000101B1"/>
    <w:rsid w:val="00010434"/>
    <w:rsid w:val="000118C2"/>
    <w:rsid w:val="00021CF7"/>
    <w:rsid w:val="000231EC"/>
    <w:rsid w:val="0002405A"/>
    <w:rsid w:val="00026592"/>
    <w:rsid w:val="00026FBA"/>
    <w:rsid w:val="000307A3"/>
    <w:rsid w:val="0005231B"/>
    <w:rsid w:val="000540E2"/>
    <w:rsid w:val="000656AE"/>
    <w:rsid w:val="0007082B"/>
    <w:rsid w:val="000723A7"/>
    <w:rsid w:val="000764C9"/>
    <w:rsid w:val="00076715"/>
    <w:rsid w:val="00085154"/>
    <w:rsid w:val="00085A9D"/>
    <w:rsid w:val="0009032C"/>
    <w:rsid w:val="000905C7"/>
    <w:rsid w:val="00091286"/>
    <w:rsid w:val="000913C2"/>
    <w:rsid w:val="00094606"/>
    <w:rsid w:val="0009615C"/>
    <w:rsid w:val="0009750A"/>
    <w:rsid w:val="000A7509"/>
    <w:rsid w:val="000B636A"/>
    <w:rsid w:val="000B6415"/>
    <w:rsid w:val="000C016B"/>
    <w:rsid w:val="000D437E"/>
    <w:rsid w:val="000E01B8"/>
    <w:rsid w:val="000E0DB2"/>
    <w:rsid w:val="000E38EC"/>
    <w:rsid w:val="000E7B3E"/>
    <w:rsid w:val="000F4847"/>
    <w:rsid w:val="00106479"/>
    <w:rsid w:val="00113AB6"/>
    <w:rsid w:val="001145D0"/>
    <w:rsid w:val="00115796"/>
    <w:rsid w:val="00126894"/>
    <w:rsid w:val="00127778"/>
    <w:rsid w:val="0012785B"/>
    <w:rsid w:val="00127E62"/>
    <w:rsid w:val="00132693"/>
    <w:rsid w:val="00132A63"/>
    <w:rsid w:val="00133A76"/>
    <w:rsid w:val="0013441B"/>
    <w:rsid w:val="00134C8F"/>
    <w:rsid w:val="00136735"/>
    <w:rsid w:val="001369D6"/>
    <w:rsid w:val="00136C63"/>
    <w:rsid w:val="0014222E"/>
    <w:rsid w:val="0014593F"/>
    <w:rsid w:val="00145E40"/>
    <w:rsid w:val="00150250"/>
    <w:rsid w:val="00151F95"/>
    <w:rsid w:val="00160800"/>
    <w:rsid w:val="0016085B"/>
    <w:rsid w:val="00162221"/>
    <w:rsid w:val="00163549"/>
    <w:rsid w:val="00164735"/>
    <w:rsid w:val="001652E6"/>
    <w:rsid w:val="001665F2"/>
    <w:rsid w:val="00167B93"/>
    <w:rsid w:val="001729BA"/>
    <w:rsid w:val="001746FE"/>
    <w:rsid w:val="00175ABF"/>
    <w:rsid w:val="0017620B"/>
    <w:rsid w:val="00176CAA"/>
    <w:rsid w:val="00181890"/>
    <w:rsid w:val="0018251E"/>
    <w:rsid w:val="00182F4C"/>
    <w:rsid w:val="00183548"/>
    <w:rsid w:val="0019099A"/>
    <w:rsid w:val="001910F3"/>
    <w:rsid w:val="001919D4"/>
    <w:rsid w:val="00194CBE"/>
    <w:rsid w:val="00195FF0"/>
    <w:rsid w:val="001B0645"/>
    <w:rsid w:val="001B1F88"/>
    <w:rsid w:val="001B28ED"/>
    <w:rsid w:val="001B2DDF"/>
    <w:rsid w:val="001B614B"/>
    <w:rsid w:val="001C37DE"/>
    <w:rsid w:val="001C40D2"/>
    <w:rsid w:val="001C4701"/>
    <w:rsid w:val="001D0F32"/>
    <w:rsid w:val="001D5558"/>
    <w:rsid w:val="001E20FF"/>
    <w:rsid w:val="001E366A"/>
    <w:rsid w:val="001E4115"/>
    <w:rsid w:val="001F4304"/>
    <w:rsid w:val="002001E5"/>
    <w:rsid w:val="00200290"/>
    <w:rsid w:val="00200FB2"/>
    <w:rsid w:val="00203C33"/>
    <w:rsid w:val="00210167"/>
    <w:rsid w:val="00211C91"/>
    <w:rsid w:val="0021367E"/>
    <w:rsid w:val="0021520E"/>
    <w:rsid w:val="00215D45"/>
    <w:rsid w:val="00225517"/>
    <w:rsid w:val="00226970"/>
    <w:rsid w:val="002301BD"/>
    <w:rsid w:val="00230E00"/>
    <w:rsid w:val="0023181E"/>
    <w:rsid w:val="00236B1A"/>
    <w:rsid w:val="00240816"/>
    <w:rsid w:val="00242909"/>
    <w:rsid w:val="00243168"/>
    <w:rsid w:val="002435EB"/>
    <w:rsid w:val="00245CB3"/>
    <w:rsid w:val="00245E3C"/>
    <w:rsid w:val="0024693D"/>
    <w:rsid w:val="00251FA4"/>
    <w:rsid w:val="0025331F"/>
    <w:rsid w:val="002558A8"/>
    <w:rsid w:val="00255E44"/>
    <w:rsid w:val="00273343"/>
    <w:rsid w:val="00273E75"/>
    <w:rsid w:val="002743EB"/>
    <w:rsid w:val="00283CA5"/>
    <w:rsid w:val="00285577"/>
    <w:rsid w:val="002857FE"/>
    <w:rsid w:val="0028693D"/>
    <w:rsid w:val="00287FCC"/>
    <w:rsid w:val="0029478A"/>
    <w:rsid w:val="00297461"/>
    <w:rsid w:val="002A741B"/>
    <w:rsid w:val="002B110B"/>
    <w:rsid w:val="002B1E42"/>
    <w:rsid w:val="002B2618"/>
    <w:rsid w:val="002B5042"/>
    <w:rsid w:val="002C0016"/>
    <w:rsid w:val="002D1A98"/>
    <w:rsid w:val="002D4382"/>
    <w:rsid w:val="002D4C99"/>
    <w:rsid w:val="002D51C5"/>
    <w:rsid w:val="002D6976"/>
    <w:rsid w:val="002E1EBA"/>
    <w:rsid w:val="002E48CC"/>
    <w:rsid w:val="002F5FCC"/>
    <w:rsid w:val="00303E14"/>
    <w:rsid w:val="00305CC7"/>
    <w:rsid w:val="00305F59"/>
    <w:rsid w:val="003077E1"/>
    <w:rsid w:val="00311616"/>
    <w:rsid w:val="00312055"/>
    <w:rsid w:val="0031285A"/>
    <w:rsid w:val="00316738"/>
    <w:rsid w:val="00317998"/>
    <w:rsid w:val="00321536"/>
    <w:rsid w:val="003264D1"/>
    <w:rsid w:val="00331BC5"/>
    <w:rsid w:val="00333C33"/>
    <w:rsid w:val="00341F23"/>
    <w:rsid w:val="003421C2"/>
    <w:rsid w:val="0035115D"/>
    <w:rsid w:val="003521A5"/>
    <w:rsid w:val="00353906"/>
    <w:rsid w:val="00353AAF"/>
    <w:rsid w:val="00354AF1"/>
    <w:rsid w:val="003604EB"/>
    <w:rsid w:val="00366C70"/>
    <w:rsid w:val="00371502"/>
    <w:rsid w:val="003742C8"/>
    <w:rsid w:val="0037593F"/>
    <w:rsid w:val="003759D0"/>
    <w:rsid w:val="00375B47"/>
    <w:rsid w:val="00380A43"/>
    <w:rsid w:val="00383BEE"/>
    <w:rsid w:val="00387CB0"/>
    <w:rsid w:val="00391851"/>
    <w:rsid w:val="00392E2E"/>
    <w:rsid w:val="00393025"/>
    <w:rsid w:val="003A11BB"/>
    <w:rsid w:val="003A15B9"/>
    <w:rsid w:val="003A21CF"/>
    <w:rsid w:val="003A58B8"/>
    <w:rsid w:val="003B222F"/>
    <w:rsid w:val="003B3218"/>
    <w:rsid w:val="003B539E"/>
    <w:rsid w:val="003B70D2"/>
    <w:rsid w:val="003C759D"/>
    <w:rsid w:val="003D386E"/>
    <w:rsid w:val="003D4365"/>
    <w:rsid w:val="003E0626"/>
    <w:rsid w:val="003E2CBB"/>
    <w:rsid w:val="003E7780"/>
    <w:rsid w:val="00402686"/>
    <w:rsid w:val="00402827"/>
    <w:rsid w:val="0040459E"/>
    <w:rsid w:val="00404D8A"/>
    <w:rsid w:val="004066A6"/>
    <w:rsid w:val="0040743C"/>
    <w:rsid w:val="004124A0"/>
    <w:rsid w:val="00413ED6"/>
    <w:rsid w:val="004144E4"/>
    <w:rsid w:val="004173E5"/>
    <w:rsid w:val="00421D9D"/>
    <w:rsid w:val="004235F7"/>
    <w:rsid w:val="004338C4"/>
    <w:rsid w:val="00433ABF"/>
    <w:rsid w:val="0043430F"/>
    <w:rsid w:val="004376D9"/>
    <w:rsid w:val="00437879"/>
    <w:rsid w:val="0044549C"/>
    <w:rsid w:val="00453548"/>
    <w:rsid w:val="00463A36"/>
    <w:rsid w:val="004729BF"/>
    <w:rsid w:val="00476962"/>
    <w:rsid w:val="00477635"/>
    <w:rsid w:val="00481150"/>
    <w:rsid w:val="00481F28"/>
    <w:rsid w:val="0048267F"/>
    <w:rsid w:val="004831DA"/>
    <w:rsid w:val="00487F2B"/>
    <w:rsid w:val="004A1158"/>
    <w:rsid w:val="004A1204"/>
    <w:rsid w:val="004A1D33"/>
    <w:rsid w:val="004A3C54"/>
    <w:rsid w:val="004B2ED6"/>
    <w:rsid w:val="004B36D6"/>
    <w:rsid w:val="004B3E93"/>
    <w:rsid w:val="004B73C8"/>
    <w:rsid w:val="004C1C29"/>
    <w:rsid w:val="004C43D3"/>
    <w:rsid w:val="004C49DF"/>
    <w:rsid w:val="004D0E0D"/>
    <w:rsid w:val="004D4497"/>
    <w:rsid w:val="004D5DED"/>
    <w:rsid w:val="004E0536"/>
    <w:rsid w:val="004E4F5E"/>
    <w:rsid w:val="004E5A3E"/>
    <w:rsid w:val="004E7F2D"/>
    <w:rsid w:val="004F07D1"/>
    <w:rsid w:val="004F65AC"/>
    <w:rsid w:val="004F7D60"/>
    <w:rsid w:val="0050435B"/>
    <w:rsid w:val="00505C64"/>
    <w:rsid w:val="00513866"/>
    <w:rsid w:val="005166B1"/>
    <w:rsid w:val="00516C66"/>
    <w:rsid w:val="0051708F"/>
    <w:rsid w:val="00523BF8"/>
    <w:rsid w:val="00525E7B"/>
    <w:rsid w:val="00531055"/>
    <w:rsid w:val="00531F34"/>
    <w:rsid w:val="00542ACB"/>
    <w:rsid w:val="0055111B"/>
    <w:rsid w:val="005536A3"/>
    <w:rsid w:val="005570A7"/>
    <w:rsid w:val="00562A88"/>
    <w:rsid w:val="005631F1"/>
    <w:rsid w:val="00563895"/>
    <w:rsid w:val="00575F05"/>
    <w:rsid w:val="0058052E"/>
    <w:rsid w:val="00581D44"/>
    <w:rsid w:val="005864FB"/>
    <w:rsid w:val="00593535"/>
    <w:rsid w:val="00593F16"/>
    <w:rsid w:val="00595833"/>
    <w:rsid w:val="00596916"/>
    <w:rsid w:val="005A230B"/>
    <w:rsid w:val="005A2661"/>
    <w:rsid w:val="005B574C"/>
    <w:rsid w:val="005C0527"/>
    <w:rsid w:val="005C2378"/>
    <w:rsid w:val="005C2FBB"/>
    <w:rsid w:val="005C5836"/>
    <w:rsid w:val="005D5F3A"/>
    <w:rsid w:val="005D674C"/>
    <w:rsid w:val="005D6B69"/>
    <w:rsid w:val="005D74B1"/>
    <w:rsid w:val="005E2D88"/>
    <w:rsid w:val="005E5E25"/>
    <w:rsid w:val="005F4022"/>
    <w:rsid w:val="006007D4"/>
    <w:rsid w:val="006029E4"/>
    <w:rsid w:val="0061407F"/>
    <w:rsid w:val="00617DCC"/>
    <w:rsid w:val="00630DDC"/>
    <w:rsid w:val="00633BAC"/>
    <w:rsid w:val="00637AA8"/>
    <w:rsid w:val="00643199"/>
    <w:rsid w:val="006443DF"/>
    <w:rsid w:val="00644E07"/>
    <w:rsid w:val="00653C4C"/>
    <w:rsid w:val="00655F36"/>
    <w:rsid w:val="00662BCD"/>
    <w:rsid w:val="00662D1C"/>
    <w:rsid w:val="00670BA2"/>
    <w:rsid w:val="00680F83"/>
    <w:rsid w:val="00691C0D"/>
    <w:rsid w:val="0069331C"/>
    <w:rsid w:val="00694CEB"/>
    <w:rsid w:val="00697D37"/>
    <w:rsid w:val="006A027D"/>
    <w:rsid w:val="006A112F"/>
    <w:rsid w:val="006A35DC"/>
    <w:rsid w:val="006A7CB0"/>
    <w:rsid w:val="006B4494"/>
    <w:rsid w:val="006C55EF"/>
    <w:rsid w:val="006C7C70"/>
    <w:rsid w:val="006C7DB1"/>
    <w:rsid w:val="006D1DBF"/>
    <w:rsid w:val="006D6D07"/>
    <w:rsid w:val="006E03F6"/>
    <w:rsid w:val="006E6A18"/>
    <w:rsid w:val="006E6BC3"/>
    <w:rsid w:val="006F1381"/>
    <w:rsid w:val="00700272"/>
    <w:rsid w:val="00701A1E"/>
    <w:rsid w:val="00702B81"/>
    <w:rsid w:val="00705EE5"/>
    <w:rsid w:val="00707E9B"/>
    <w:rsid w:val="00713BE4"/>
    <w:rsid w:val="00717025"/>
    <w:rsid w:val="007206F2"/>
    <w:rsid w:val="00725628"/>
    <w:rsid w:val="007347A4"/>
    <w:rsid w:val="007351F7"/>
    <w:rsid w:val="00737D8E"/>
    <w:rsid w:val="00743DFE"/>
    <w:rsid w:val="00744F90"/>
    <w:rsid w:val="00745624"/>
    <w:rsid w:val="00745999"/>
    <w:rsid w:val="00746311"/>
    <w:rsid w:val="00746D63"/>
    <w:rsid w:val="00746E9A"/>
    <w:rsid w:val="00747C3F"/>
    <w:rsid w:val="00751AE0"/>
    <w:rsid w:val="00755A06"/>
    <w:rsid w:val="00755C30"/>
    <w:rsid w:val="0075672C"/>
    <w:rsid w:val="00767BBA"/>
    <w:rsid w:val="00767DE1"/>
    <w:rsid w:val="00771E1D"/>
    <w:rsid w:val="00771E38"/>
    <w:rsid w:val="007735CC"/>
    <w:rsid w:val="00775674"/>
    <w:rsid w:val="00776D78"/>
    <w:rsid w:val="007920A2"/>
    <w:rsid w:val="00793A24"/>
    <w:rsid w:val="007B00B1"/>
    <w:rsid w:val="007B0B7A"/>
    <w:rsid w:val="007B2C19"/>
    <w:rsid w:val="007B41CF"/>
    <w:rsid w:val="007B64BB"/>
    <w:rsid w:val="007C0D9E"/>
    <w:rsid w:val="007C541F"/>
    <w:rsid w:val="007D1630"/>
    <w:rsid w:val="007D30B2"/>
    <w:rsid w:val="007D34C5"/>
    <w:rsid w:val="007E0275"/>
    <w:rsid w:val="007E06FD"/>
    <w:rsid w:val="007E1BCF"/>
    <w:rsid w:val="007E36E5"/>
    <w:rsid w:val="007E5324"/>
    <w:rsid w:val="007F70E9"/>
    <w:rsid w:val="00806606"/>
    <w:rsid w:val="008137F4"/>
    <w:rsid w:val="00813875"/>
    <w:rsid w:val="00813D84"/>
    <w:rsid w:val="00820ED3"/>
    <w:rsid w:val="0082269B"/>
    <w:rsid w:val="008249C1"/>
    <w:rsid w:val="00826FAB"/>
    <w:rsid w:val="00833D9A"/>
    <w:rsid w:val="00834DB2"/>
    <w:rsid w:val="008356D9"/>
    <w:rsid w:val="0084099B"/>
    <w:rsid w:val="008413A7"/>
    <w:rsid w:val="00841FB0"/>
    <w:rsid w:val="0084247F"/>
    <w:rsid w:val="00843788"/>
    <w:rsid w:val="00844DAB"/>
    <w:rsid w:val="00847C78"/>
    <w:rsid w:val="0085181F"/>
    <w:rsid w:val="008547EE"/>
    <w:rsid w:val="0086624F"/>
    <w:rsid w:val="00866908"/>
    <w:rsid w:val="00866AB6"/>
    <w:rsid w:val="0087011D"/>
    <w:rsid w:val="00870F93"/>
    <w:rsid w:val="008735D7"/>
    <w:rsid w:val="0087446F"/>
    <w:rsid w:val="00876DEE"/>
    <w:rsid w:val="008947D6"/>
    <w:rsid w:val="008A1FEF"/>
    <w:rsid w:val="008A34CA"/>
    <w:rsid w:val="008B794B"/>
    <w:rsid w:val="008D1438"/>
    <w:rsid w:val="008D1505"/>
    <w:rsid w:val="008D3B6D"/>
    <w:rsid w:val="008D7DFA"/>
    <w:rsid w:val="008E3F6C"/>
    <w:rsid w:val="008F0493"/>
    <w:rsid w:val="008F21F9"/>
    <w:rsid w:val="008F4322"/>
    <w:rsid w:val="008F669F"/>
    <w:rsid w:val="0090078E"/>
    <w:rsid w:val="00901095"/>
    <w:rsid w:val="00905D9E"/>
    <w:rsid w:val="0090720C"/>
    <w:rsid w:val="009076BE"/>
    <w:rsid w:val="0091346D"/>
    <w:rsid w:val="00913C68"/>
    <w:rsid w:val="009230FD"/>
    <w:rsid w:val="00927F20"/>
    <w:rsid w:val="00943596"/>
    <w:rsid w:val="00944329"/>
    <w:rsid w:val="00944AC5"/>
    <w:rsid w:val="00945674"/>
    <w:rsid w:val="00945689"/>
    <w:rsid w:val="00952379"/>
    <w:rsid w:val="009537EE"/>
    <w:rsid w:val="009553FF"/>
    <w:rsid w:val="00956972"/>
    <w:rsid w:val="00964AF3"/>
    <w:rsid w:val="00970429"/>
    <w:rsid w:val="00976775"/>
    <w:rsid w:val="00977F3F"/>
    <w:rsid w:val="00982E1E"/>
    <w:rsid w:val="00983F7A"/>
    <w:rsid w:val="009915A5"/>
    <w:rsid w:val="009A2E79"/>
    <w:rsid w:val="009A5687"/>
    <w:rsid w:val="009A6210"/>
    <w:rsid w:val="009A684E"/>
    <w:rsid w:val="009A7DE7"/>
    <w:rsid w:val="009B0247"/>
    <w:rsid w:val="009B1AC5"/>
    <w:rsid w:val="009B3D43"/>
    <w:rsid w:val="009C0738"/>
    <w:rsid w:val="009C378F"/>
    <w:rsid w:val="009C50C3"/>
    <w:rsid w:val="009C56C7"/>
    <w:rsid w:val="009C7DF8"/>
    <w:rsid w:val="009D77AD"/>
    <w:rsid w:val="009E3352"/>
    <w:rsid w:val="009E5564"/>
    <w:rsid w:val="009F2092"/>
    <w:rsid w:val="009F2571"/>
    <w:rsid w:val="009F7C64"/>
    <w:rsid w:val="00A036CA"/>
    <w:rsid w:val="00A050E1"/>
    <w:rsid w:val="00A0593A"/>
    <w:rsid w:val="00A07318"/>
    <w:rsid w:val="00A07BA0"/>
    <w:rsid w:val="00A103EE"/>
    <w:rsid w:val="00A15E65"/>
    <w:rsid w:val="00A21073"/>
    <w:rsid w:val="00A21598"/>
    <w:rsid w:val="00A2266F"/>
    <w:rsid w:val="00A259CB"/>
    <w:rsid w:val="00A278B3"/>
    <w:rsid w:val="00A33A73"/>
    <w:rsid w:val="00A341BC"/>
    <w:rsid w:val="00A44467"/>
    <w:rsid w:val="00A445C3"/>
    <w:rsid w:val="00A4588D"/>
    <w:rsid w:val="00A45EA7"/>
    <w:rsid w:val="00A52F4A"/>
    <w:rsid w:val="00A56038"/>
    <w:rsid w:val="00A5649A"/>
    <w:rsid w:val="00A61438"/>
    <w:rsid w:val="00A644C7"/>
    <w:rsid w:val="00A66760"/>
    <w:rsid w:val="00A67259"/>
    <w:rsid w:val="00A70B77"/>
    <w:rsid w:val="00A7676A"/>
    <w:rsid w:val="00A77027"/>
    <w:rsid w:val="00A77344"/>
    <w:rsid w:val="00A77E3B"/>
    <w:rsid w:val="00A81832"/>
    <w:rsid w:val="00A8440C"/>
    <w:rsid w:val="00A87C0F"/>
    <w:rsid w:val="00A901FC"/>
    <w:rsid w:val="00A90435"/>
    <w:rsid w:val="00A905BF"/>
    <w:rsid w:val="00A93129"/>
    <w:rsid w:val="00A93478"/>
    <w:rsid w:val="00A97DDC"/>
    <w:rsid w:val="00AA2F36"/>
    <w:rsid w:val="00AA4A46"/>
    <w:rsid w:val="00AA50E7"/>
    <w:rsid w:val="00AB0887"/>
    <w:rsid w:val="00AB0AC3"/>
    <w:rsid w:val="00AB7E69"/>
    <w:rsid w:val="00AC22BE"/>
    <w:rsid w:val="00AC7937"/>
    <w:rsid w:val="00AD0BB8"/>
    <w:rsid w:val="00AD3BCA"/>
    <w:rsid w:val="00AE2A14"/>
    <w:rsid w:val="00AE72C7"/>
    <w:rsid w:val="00AE7BD1"/>
    <w:rsid w:val="00AF1A4A"/>
    <w:rsid w:val="00AF2EA0"/>
    <w:rsid w:val="00AF58E1"/>
    <w:rsid w:val="00B00F25"/>
    <w:rsid w:val="00B01747"/>
    <w:rsid w:val="00B03C2D"/>
    <w:rsid w:val="00B0693F"/>
    <w:rsid w:val="00B06D25"/>
    <w:rsid w:val="00B07700"/>
    <w:rsid w:val="00B107FB"/>
    <w:rsid w:val="00B15111"/>
    <w:rsid w:val="00B219F5"/>
    <w:rsid w:val="00B21DDD"/>
    <w:rsid w:val="00B25D29"/>
    <w:rsid w:val="00B2623F"/>
    <w:rsid w:val="00B33351"/>
    <w:rsid w:val="00B400A9"/>
    <w:rsid w:val="00B43643"/>
    <w:rsid w:val="00B44A60"/>
    <w:rsid w:val="00B46A53"/>
    <w:rsid w:val="00B50CEE"/>
    <w:rsid w:val="00B534AD"/>
    <w:rsid w:val="00B5513C"/>
    <w:rsid w:val="00B56481"/>
    <w:rsid w:val="00B61431"/>
    <w:rsid w:val="00B61749"/>
    <w:rsid w:val="00B6684A"/>
    <w:rsid w:val="00B66DB7"/>
    <w:rsid w:val="00B735B7"/>
    <w:rsid w:val="00B75940"/>
    <w:rsid w:val="00B77CE8"/>
    <w:rsid w:val="00B805F5"/>
    <w:rsid w:val="00B810FC"/>
    <w:rsid w:val="00B8740E"/>
    <w:rsid w:val="00B926F2"/>
    <w:rsid w:val="00B93114"/>
    <w:rsid w:val="00BA0A18"/>
    <w:rsid w:val="00BA0A54"/>
    <w:rsid w:val="00BA4558"/>
    <w:rsid w:val="00BA53E1"/>
    <w:rsid w:val="00BC6FF1"/>
    <w:rsid w:val="00BD1224"/>
    <w:rsid w:val="00BD1369"/>
    <w:rsid w:val="00BD2F7E"/>
    <w:rsid w:val="00BD6F95"/>
    <w:rsid w:val="00BD7B03"/>
    <w:rsid w:val="00BD7BFA"/>
    <w:rsid w:val="00BF5B5D"/>
    <w:rsid w:val="00C066D5"/>
    <w:rsid w:val="00C14F75"/>
    <w:rsid w:val="00C173D5"/>
    <w:rsid w:val="00C2108F"/>
    <w:rsid w:val="00C2250E"/>
    <w:rsid w:val="00C362F5"/>
    <w:rsid w:val="00C36D0B"/>
    <w:rsid w:val="00C373B7"/>
    <w:rsid w:val="00C378A1"/>
    <w:rsid w:val="00C37D86"/>
    <w:rsid w:val="00C4211D"/>
    <w:rsid w:val="00C434BF"/>
    <w:rsid w:val="00C45F9B"/>
    <w:rsid w:val="00C4732E"/>
    <w:rsid w:val="00C507E9"/>
    <w:rsid w:val="00C52FB1"/>
    <w:rsid w:val="00C54086"/>
    <w:rsid w:val="00C54888"/>
    <w:rsid w:val="00C559DA"/>
    <w:rsid w:val="00C561FB"/>
    <w:rsid w:val="00C61169"/>
    <w:rsid w:val="00C6698B"/>
    <w:rsid w:val="00C66F4D"/>
    <w:rsid w:val="00C74DE8"/>
    <w:rsid w:val="00C80A26"/>
    <w:rsid w:val="00C8266B"/>
    <w:rsid w:val="00C83BBE"/>
    <w:rsid w:val="00C86CEC"/>
    <w:rsid w:val="00C871FB"/>
    <w:rsid w:val="00C95244"/>
    <w:rsid w:val="00C97EC2"/>
    <w:rsid w:val="00CA4F56"/>
    <w:rsid w:val="00CA60C0"/>
    <w:rsid w:val="00CA63BB"/>
    <w:rsid w:val="00CA7AD6"/>
    <w:rsid w:val="00CB03A0"/>
    <w:rsid w:val="00CB0D0D"/>
    <w:rsid w:val="00CB5600"/>
    <w:rsid w:val="00CB5C3B"/>
    <w:rsid w:val="00CB5DB5"/>
    <w:rsid w:val="00CB641F"/>
    <w:rsid w:val="00CB7819"/>
    <w:rsid w:val="00CC53A9"/>
    <w:rsid w:val="00CD1BDC"/>
    <w:rsid w:val="00CD3171"/>
    <w:rsid w:val="00CD5DCB"/>
    <w:rsid w:val="00CD7D24"/>
    <w:rsid w:val="00CE1F9D"/>
    <w:rsid w:val="00CE24E4"/>
    <w:rsid w:val="00CE34C8"/>
    <w:rsid w:val="00CF25BA"/>
    <w:rsid w:val="00CF28D9"/>
    <w:rsid w:val="00CF3D64"/>
    <w:rsid w:val="00CF40EF"/>
    <w:rsid w:val="00CF7422"/>
    <w:rsid w:val="00D00C30"/>
    <w:rsid w:val="00D017F1"/>
    <w:rsid w:val="00D04347"/>
    <w:rsid w:val="00D06F85"/>
    <w:rsid w:val="00D071F3"/>
    <w:rsid w:val="00D07C1A"/>
    <w:rsid w:val="00D10EA2"/>
    <w:rsid w:val="00D26051"/>
    <w:rsid w:val="00D2616E"/>
    <w:rsid w:val="00D26722"/>
    <w:rsid w:val="00D30049"/>
    <w:rsid w:val="00D324B1"/>
    <w:rsid w:val="00D33BBE"/>
    <w:rsid w:val="00D4455A"/>
    <w:rsid w:val="00D445B5"/>
    <w:rsid w:val="00D47412"/>
    <w:rsid w:val="00D5441B"/>
    <w:rsid w:val="00D54995"/>
    <w:rsid w:val="00D624D3"/>
    <w:rsid w:val="00D64D91"/>
    <w:rsid w:val="00D65DB1"/>
    <w:rsid w:val="00D73FDF"/>
    <w:rsid w:val="00D83976"/>
    <w:rsid w:val="00D851AF"/>
    <w:rsid w:val="00D87EA9"/>
    <w:rsid w:val="00D948FF"/>
    <w:rsid w:val="00D979DB"/>
    <w:rsid w:val="00DA0E8A"/>
    <w:rsid w:val="00DA2158"/>
    <w:rsid w:val="00DB00EB"/>
    <w:rsid w:val="00DB272E"/>
    <w:rsid w:val="00DB40CC"/>
    <w:rsid w:val="00DB52DA"/>
    <w:rsid w:val="00DB59C7"/>
    <w:rsid w:val="00DC057A"/>
    <w:rsid w:val="00DC0998"/>
    <w:rsid w:val="00DC0A9E"/>
    <w:rsid w:val="00DC6C3E"/>
    <w:rsid w:val="00DC7A13"/>
    <w:rsid w:val="00DC7E1E"/>
    <w:rsid w:val="00DD1350"/>
    <w:rsid w:val="00DD494D"/>
    <w:rsid w:val="00DD5F13"/>
    <w:rsid w:val="00DD68FC"/>
    <w:rsid w:val="00DD692C"/>
    <w:rsid w:val="00DD7DAC"/>
    <w:rsid w:val="00DE76C4"/>
    <w:rsid w:val="00DF3296"/>
    <w:rsid w:val="00E12822"/>
    <w:rsid w:val="00E1469E"/>
    <w:rsid w:val="00E21036"/>
    <w:rsid w:val="00E212F6"/>
    <w:rsid w:val="00E21BA9"/>
    <w:rsid w:val="00E22549"/>
    <w:rsid w:val="00E22B16"/>
    <w:rsid w:val="00E22D00"/>
    <w:rsid w:val="00E24E99"/>
    <w:rsid w:val="00E25114"/>
    <w:rsid w:val="00E26355"/>
    <w:rsid w:val="00E269FE"/>
    <w:rsid w:val="00E2738A"/>
    <w:rsid w:val="00E274AE"/>
    <w:rsid w:val="00E329F9"/>
    <w:rsid w:val="00E3632F"/>
    <w:rsid w:val="00E37F89"/>
    <w:rsid w:val="00E43398"/>
    <w:rsid w:val="00E4413D"/>
    <w:rsid w:val="00E52324"/>
    <w:rsid w:val="00E52D8C"/>
    <w:rsid w:val="00E555AD"/>
    <w:rsid w:val="00E5708B"/>
    <w:rsid w:val="00E60738"/>
    <w:rsid w:val="00E7075C"/>
    <w:rsid w:val="00E710B4"/>
    <w:rsid w:val="00E72CAD"/>
    <w:rsid w:val="00E75141"/>
    <w:rsid w:val="00E76BA0"/>
    <w:rsid w:val="00E772D5"/>
    <w:rsid w:val="00E8021E"/>
    <w:rsid w:val="00E81E62"/>
    <w:rsid w:val="00E830CE"/>
    <w:rsid w:val="00E85698"/>
    <w:rsid w:val="00E87D90"/>
    <w:rsid w:val="00E92DF7"/>
    <w:rsid w:val="00E95FB7"/>
    <w:rsid w:val="00E96D04"/>
    <w:rsid w:val="00EA0BBD"/>
    <w:rsid w:val="00EA1A9E"/>
    <w:rsid w:val="00EA360E"/>
    <w:rsid w:val="00EA3C3D"/>
    <w:rsid w:val="00EA4FDD"/>
    <w:rsid w:val="00EA524B"/>
    <w:rsid w:val="00EB25B2"/>
    <w:rsid w:val="00EB3676"/>
    <w:rsid w:val="00EB5327"/>
    <w:rsid w:val="00EC105F"/>
    <w:rsid w:val="00EC1597"/>
    <w:rsid w:val="00EC7E73"/>
    <w:rsid w:val="00ED04A0"/>
    <w:rsid w:val="00ED0B12"/>
    <w:rsid w:val="00ED2C7A"/>
    <w:rsid w:val="00ED7D94"/>
    <w:rsid w:val="00EE1078"/>
    <w:rsid w:val="00EE635D"/>
    <w:rsid w:val="00EE7186"/>
    <w:rsid w:val="00EF0AFD"/>
    <w:rsid w:val="00EF4A05"/>
    <w:rsid w:val="00EF5926"/>
    <w:rsid w:val="00EF702C"/>
    <w:rsid w:val="00F006E5"/>
    <w:rsid w:val="00F04C02"/>
    <w:rsid w:val="00F05316"/>
    <w:rsid w:val="00F06C8E"/>
    <w:rsid w:val="00F12EC5"/>
    <w:rsid w:val="00F15DF2"/>
    <w:rsid w:val="00F24F61"/>
    <w:rsid w:val="00F25AC5"/>
    <w:rsid w:val="00F40F6E"/>
    <w:rsid w:val="00F418F0"/>
    <w:rsid w:val="00F430E0"/>
    <w:rsid w:val="00F45923"/>
    <w:rsid w:val="00F56F0F"/>
    <w:rsid w:val="00F574B2"/>
    <w:rsid w:val="00F57BAF"/>
    <w:rsid w:val="00F66075"/>
    <w:rsid w:val="00F74026"/>
    <w:rsid w:val="00F75F1F"/>
    <w:rsid w:val="00F7704E"/>
    <w:rsid w:val="00F83E7D"/>
    <w:rsid w:val="00F83FA8"/>
    <w:rsid w:val="00F85862"/>
    <w:rsid w:val="00F9442F"/>
    <w:rsid w:val="00F955D6"/>
    <w:rsid w:val="00F97FEA"/>
    <w:rsid w:val="00FA0A87"/>
    <w:rsid w:val="00FA3815"/>
    <w:rsid w:val="00FA3A6A"/>
    <w:rsid w:val="00FB48B0"/>
    <w:rsid w:val="00FB5F87"/>
    <w:rsid w:val="00FC3C86"/>
    <w:rsid w:val="00FC7013"/>
    <w:rsid w:val="00FD3FE0"/>
    <w:rsid w:val="00FD4B8B"/>
    <w:rsid w:val="00FD57E5"/>
    <w:rsid w:val="00FE332D"/>
    <w:rsid w:val="00FE6471"/>
    <w:rsid w:val="00FF0DEA"/>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 w:type="character" w:styleId="a8">
    <w:name w:val="annotation reference"/>
    <w:basedOn w:val="a0"/>
    <w:uiPriority w:val="99"/>
    <w:semiHidden/>
    <w:unhideWhenUsed/>
    <w:rsid w:val="00A07318"/>
    <w:rPr>
      <w:sz w:val="21"/>
      <w:szCs w:val="21"/>
    </w:rPr>
  </w:style>
  <w:style w:type="paragraph" w:styleId="a9">
    <w:name w:val="annotation text"/>
    <w:basedOn w:val="a"/>
    <w:link w:val="Char2"/>
    <w:uiPriority w:val="99"/>
    <w:semiHidden/>
    <w:unhideWhenUsed/>
    <w:rsid w:val="00A07318"/>
    <w:pPr>
      <w:jc w:val="left"/>
    </w:pPr>
  </w:style>
  <w:style w:type="character" w:customStyle="1" w:styleId="Char2">
    <w:name w:val="批注文字 Char"/>
    <w:basedOn w:val="a0"/>
    <w:link w:val="a9"/>
    <w:uiPriority w:val="99"/>
    <w:semiHidden/>
    <w:rsid w:val="00A07318"/>
  </w:style>
  <w:style w:type="paragraph" w:styleId="aa">
    <w:name w:val="annotation subject"/>
    <w:basedOn w:val="a9"/>
    <w:next w:val="a9"/>
    <w:link w:val="Char3"/>
    <w:uiPriority w:val="99"/>
    <w:semiHidden/>
    <w:unhideWhenUsed/>
    <w:rsid w:val="00A07318"/>
    <w:rPr>
      <w:b/>
      <w:bCs/>
    </w:rPr>
  </w:style>
  <w:style w:type="character" w:customStyle="1" w:styleId="Char3">
    <w:name w:val="批注主题 Char"/>
    <w:basedOn w:val="Char2"/>
    <w:link w:val="aa"/>
    <w:uiPriority w:val="99"/>
    <w:semiHidden/>
    <w:rsid w:val="00A073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 w:type="character" w:styleId="a8">
    <w:name w:val="annotation reference"/>
    <w:basedOn w:val="a0"/>
    <w:uiPriority w:val="99"/>
    <w:semiHidden/>
    <w:unhideWhenUsed/>
    <w:rsid w:val="00A07318"/>
    <w:rPr>
      <w:sz w:val="21"/>
      <w:szCs w:val="21"/>
    </w:rPr>
  </w:style>
  <w:style w:type="paragraph" w:styleId="a9">
    <w:name w:val="annotation text"/>
    <w:basedOn w:val="a"/>
    <w:link w:val="Char2"/>
    <w:uiPriority w:val="99"/>
    <w:semiHidden/>
    <w:unhideWhenUsed/>
    <w:rsid w:val="00A07318"/>
    <w:pPr>
      <w:jc w:val="left"/>
    </w:pPr>
  </w:style>
  <w:style w:type="character" w:customStyle="1" w:styleId="Char2">
    <w:name w:val="批注文字 Char"/>
    <w:basedOn w:val="a0"/>
    <w:link w:val="a9"/>
    <w:uiPriority w:val="99"/>
    <w:semiHidden/>
    <w:rsid w:val="00A07318"/>
  </w:style>
  <w:style w:type="paragraph" w:styleId="aa">
    <w:name w:val="annotation subject"/>
    <w:basedOn w:val="a9"/>
    <w:next w:val="a9"/>
    <w:link w:val="Char3"/>
    <w:uiPriority w:val="99"/>
    <w:semiHidden/>
    <w:unhideWhenUsed/>
    <w:rsid w:val="00A07318"/>
    <w:rPr>
      <w:b/>
      <w:bCs/>
    </w:rPr>
  </w:style>
  <w:style w:type="character" w:customStyle="1" w:styleId="Char3">
    <w:name w:val="批注主题 Char"/>
    <w:basedOn w:val="Char2"/>
    <w:link w:val="aa"/>
    <w:uiPriority w:val="99"/>
    <w:semiHidden/>
    <w:rsid w:val="00A07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34">
      <w:bodyDiv w:val="1"/>
      <w:marLeft w:val="0"/>
      <w:marRight w:val="0"/>
      <w:marTop w:val="0"/>
      <w:marBottom w:val="0"/>
      <w:divBdr>
        <w:top w:val="none" w:sz="0" w:space="0" w:color="auto"/>
        <w:left w:val="none" w:sz="0" w:space="0" w:color="auto"/>
        <w:bottom w:val="none" w:sz="0" w:space="0" w:color="auto"/>
        <w:right w:val="none" w:sz="0" w:space="0" w:color="auto"/>
      </w:divBdr>
    </w:div>
    <w:div w:id="16739604">
      <w:bodyDiv w:val="1"/>
      <w:marLeft w:val="0"/>
      <w:marRight w:val="0"/>
      <w:marTop w:val="0"/>
      <w:marBottom w:val="0"/>
      <w:divBdr>
        <w:top w:val="none" w:sz="0" w:space="0" w:color="auto"/>
        <w:left w:val="none" w:sz="0" w:space="0" w:color="auto"/>
        <w:bottom w:val="none" w:sz="0" w:space="0" w:color="auto"/>
        <w:right w:val="none" w:sz="0" w:space="0" w:color="auto"/>
      </w:divBdr>
    </w:div>
    <w:div w:id="39138013">
      <w:bodyDiv w:val="1"/>
      <w:marLeft w:val="0"/>
      <w:marRight w:val="0"/>
      <w:marTop w:val="0"/>
      <w:marBottom w:val="0"/>
      <w:divBdr>
        <w:top w:val="none" w:sz="0" w:space="0" w:color="auto"/>
        <w:left w:val="none" w:sz="0" w:space="0" w:color="auto"/>
        <w:bottom w:val="none" w:sz="0" w:space="0" w:color="auto"/>
        <w:right w:val="none" w:sz="0" w:space="0" w:color="auto"/>
      </w:divBdr>
    </w:div>
    <w:div w:id="56712840">
      <w:bodyDiv w:val="1"/>
      <w:marLeft w:val="0"/>
      <w:marRight w:val="0"/>
      <w:marTop w:val="0"/>
      <w:marBottom w:val="0"/>
      <w:divBdr>
        <w:top w:val="none" w:sz="0" w:space="0" w:color="auto"/>
        <w:left w:val="none" w:sz="0" w:space="0" w:color="auto"/>
        <w:bottom w:val="none" w:sz="0" w:space="0" w:color="auto"/>
        <w:right w:val="none" w:sz="0" w:space="0" w:color="auto"/>
      </w:divBdr>
    </w:div>
    <w:div w:id="90856715">
      <w:bodyDiv w:val="1"/>
      <w:marLeft w:val="0"/>
      <w:marRight w:val="0"/>
      <w:marTop w:val="0"/>
      <w:marBottom w:val="0"/>
      <w:divBdr>
        <w:top w:val="none" w:sz="0" w:space="0" w:color="auto"/>
        <w:left w:val="none" w:sz="0" w:space="0" w:color="auto"/>
        <w:bottom w:val="none" w:sz="0" w:space="0" w:color="auto"/>
        <w:right w:val="none" w:sz="0" w:space="0" w:color="auto"/>
      </w:divBdr>
    </w:div>
    <w:div w:id="101919855">
      <w:bodyDiv w:val="1"/>
      <w:marLeft w:val="0"/>
      <w:marRight w:val="0"/>
      <w:marTop w:val="0"/>
      <w:marBottom w:val="0"/>
      <w:divBdr>
        <w:top w:val="none" w:sz="0" w:space="0" w:color="auto"/>
        <w:left w:val="none" w:sz="0" w:space="0" w:color="auto"/>
        <w:bottom w:val="none" w:sz="0" w:space="0" w:color="auto"/>
        <w:right w:val="none" w:sz="0" w:space="0" w:color="auto"/>
      </w:divBdr>
    </w:div>
    <w:div w:id="102237109">
      <w:bodyDiv w:val="1"/>
      <w:marLeft w:val="0"/>
      <w:marRight w:val="0"/>
      <w:marTop w:val="0"/>
      <w:marBottom w:val="0"/>
      <w:divBdr>
        <w:top w:val="none" w:sz="0" w:space="0" w:color="auto"/>
        <w:left w:val="none" w:sz="0" w:space="0" w:color="auto"/>
        <w:bottom w:val="none" w:sz="0" w:space="0" w:color="auto"/>
        <w:right w:val="none" w:sz="0" w:space="0" w:color="auto"/>
      </w:divBdr>
    </w:div>
    <w:div w:id="126048875">
      <w:bodyDiv w:val="1"/>
      <w:marLeft w:val="0"/>
      <w:marRight w:val="0"/>
      <w:marTop w:val="0"/>
      <w:marBottom w:val="0"/>
      <w:divBdr>
        <w:top w:val="none" w:sz="0" w:space="0" w:color="auto"/>
        <w:left w:val="none" w:sz="0" w:space="0" w:color="auto"/>
        <w:bottom w:val="none" w:sz="0" w:space="0" w:color="auto"/>
        <w:right w:val="none" w:sz="0" w:space="0" w:color="auto"/>
      </w:divBdr>
    </w:div>
    <w:div w:id="136188464">
      <w:bodyDiv w:val="1"/>
      <w:marLeft w:val="0"/>
      <w:marRight w:val="0"/>
      <w:marTop w:val="0"/>
      <w:marBottom w:val="0"/>
      <w:divBdr>
        <w:top w:val="none" w:sz="0" w:space="0" w:color="auto"/>
        <w:left w:val="none" w:sz="0" w:space="0" w:color="auto"/>
        <w:bottom w:val="none" w:sz="0" w:space="0" w:color="auto"/>
        <w:right w:val="none" w:sz="0" w:space="0" w:color="auto"/>
      </w:divBdr>
    </w:div>
    <w:div w:id="136918511">
      <w:bodyDiv w:val="1"/>
      <w:marLeft w:val="0"/>
      <w:marRight w:val="0"/>
      <w:marTop w:val="0"/>
      <w:marBottom w:val="0"/>
      <w:divBdr>
        <w:top w:val="none" w:sz="0" w:space="0" w:color="auto"/>
        <w:left w:val="none" w:sz="0" w:space="0" w:color="auto"/>
        <w:bottom w:val="none" w:sz="0" w:space="0" w:color="auto"/>
        <w:right w:val="none" w:sz="0" w:space="0" w:color="auto"/>
      </w:divBdr>
    </w:div>
    <w:div w:id="148791338">
      <w:bodyDiv w:val="1"/>
      <w:marLeft w:val="0"/>
      <w:marRight w:val="0"/>
      <w:marTop w:val="0"/>
      <w:marBottom w:val="0"/>
      <w:divBdr>
        <w:top w:val="none" w:sz="0" w:space="0" w:color="auto"/>
        <w:left w:val="none" w:sz="0" w:space="0" w:color="auto"/>
        <w:bottom w:val="none" w:sz="0" w:space="0" w:color="auto"/>
        <w:right w:val="none" w:sz="0" w:space="0" w:color="auto"/>
      </w:divBdr>
    </w:div>
    <w:div w:id="161556443">
      <w:bodyDiv w:val="1"/>
      <w:marLeft w:val="0"/>
      <w:marRight w:val="0"/>
      <w:marTop w:val="0"/>
      <w:marBottom w:val="0"/>
      <w:divBdr>
        <w:top w:val="none" w:sz="0" w:space="0" w:color="auto"/>
        <w:left w:val="none" w:sz="0" w:space="0" w:color="auto"/>
        <w:bottom w:val="none" w:sz="0" w:space="0" w:color="auto"/>
        <w:right w:val="none" w:sz="0" w:space="0" w:color="auto"/>
      </w:divBdr>
    </w:div>
    <w:div w:id="181091480">
      <w:bodyDiv w:val="1"/>
      <w:marLeft w:val="0"/>
      <w:marRight w:val="0"/>
      <w:marTop w:val="0"/>
      <w:marBottom w:val="0"/>
      <w:divBdr>
        <w:top w:val="none" w:sz="0" w:space="0" w:color="auto"/>
        <w:left w:val="none" w:sz="0" w:space="0" w:color="auto"/>
        <w:bottom w:val="none" w:sz="0" w:space="0" w:color="auto"/>
        <w:right w:val="none" w:sz="0" w:space="0" w:color="auto"/>
      </w:divBdr>
    </w:div>
    <w:div w:id="205799861">
      <w:bodyDiv w:val="1"/>
      <w:marLeft w:val="0"/>
      <w:marRight w:val="0"/>
      <w:marTop w:val="0"/>
      <w:marBottom w:val="0"/>
      <w:divBdr>
        <w:top w:val="none" w:sz="0" w:space="0" w:color="auto"/>
        <w:left w:val="none" w:sz="0" w:space="0" w:color="auto"/>
        <w:bottom w:val="none" w:sz="0" w:space="0" w:color="auto"/>
        <w:right w:val="none" w:sz="0" w:space="0" w:color="auto"/>
      </w:divBdr>
    </w:div>
    <w:div w:id="208538903">
      <w:bodyDiv w:val="1"/>
      <w:marLeft w:val="0"/>
      <w:marRight w:val="0"/>
      <w:marTop w:val="0"/>
      <w:marBottom w:val="0"/>
      <w:divBdr>
        <w:top w:val="none" w:sz="0" w:space="0" w:color="auto"/>
        <w:left w:val="none" w:sz="0" w:space="0" w:color="auto"/>
        <w:bottom w:val="none" w:sz="0" w:space="0" w:color="auto"/>
        <w:right w:val="none" w:sz="0" w:space="0" w:color="auto"/>
      </w:divBdr>
    </w:div>
    <w:div w:id="208614091">
      <w:bodyDiv w:val="1"/>
      <w:marLeft w:val="0"/>
      <w:marRight w:val="0"/>
      <w:marTop w:val="0"/>
      <w:marBottom w:val="0"/>
      <w:divBdr>
        <w:top w:val="none" w:sz="0" w:space="0" w:color="auto"/>
        <w:left w:val="none" w:sz="0" w:space="0" w:color="auto"/>
        <w:bottom w:val="none" w:sz="0" w:space="0" w:color="auto"/>
        <w:right w:val="none" w:sz="0" w:space="0" w:color="auto"/>
      </w:divBdr>
    </w:div>
    <w:div w:id="225457045">
      <w:bodyDiv w:val="1"/>
      <w:marLeft w:val="0"/>
      <w:marRight w:val="0"/>
      <w:marTop w:val="0"/>
      <w:marBottom w:val="0"/>
      <w:divBdr>
        <w:top w:val="none" w:sz="0" w:space="0" w:color="auto"/>
        <w:left w:val="none" w:sz="0" w:space="0" w:color="auto"/>
        <w:bottom w:val="none" w:sz="0" w:space="0" w:color="auto"/>
        <w:right w:val="none" w:sz="0" w:space="0" w:color="auto"/>
      </w:divBdr>
    </w:div>
    <w:div w:id="238292644">
      <w:bodyDiv w:val="1"/>
      <w:marLeft w:val="0"/>
      <w:marRight w:val="0"/>
      <w:marTop w:val="0"/>
      <w:marBottom w:val="0"/>
      <w:divBdr>
        <w:top w:val="none" w:sz="0" w:space="0" w:color="auto"/>
        <w:left w:val="none" w:sz="0" w:space="0" w:color="auto"/>
        <w:bottom w:val="none" w:sz="0" w:space="0" w:color="auto"/>
        <w:right w:val="none" w:sz="0" w:space="0" w:color="auto"/>
      </w:divBdr>
    </w:div>
    <w:div w:id="241642048">
      <w:bodyDiv w:val="1"/>
      <w:marLeft w:val="0"/>
      <w:marRight w:val="0"/>
      <w:marTop w:val="0"/>
      <w:marBottom w:val="0"/>
      <w:divBdr>
        <w:top w:val="none" w:sz="0" w:space="0" w:color="auto"/>
        <w:left w:val="none" w:sz="0" w:space="0" w:color="auto"/>
        <w:bottom w:val="none" w:sz="0" w:space="0" w:color="auto"/>
        <w:right w:val="none" w:sz="0" w:space="0" w:color="auto"/>
      </w:divBdr>
    </w:div>
    <w:div w:id="282008101">
      <w:bodyDiv w:val="1"/>
      <w:marLeft w:val="0"/>
      <w:marRight w:val="0"/>
      <w:marTop w:val="0"/>
      <w:marBottom w:val="0"/>
      <w:divBdr>
        <w:top w:val="none" w:sz="0" w:space="0" w:color="auto"/>
        <w:left w:val="none" w:sz="0" w:space="0" w:color="auto"/>
        <w:bottom w:val="none" w:sz="0" w:space="0" w:color="auto"/>
        <w:right w:val="none" w:sz="0" w:space="0" w:color="auto"/>
      </w:divBdr>
    </w:div>
    <w:div w:id="304899650">
      <w:bodyDiv w:val="1"/>
      <w:marLeft w:val="0"/>
      <w:marRight w:val="0"/>
      <w:marTop w:val="0"/>
      <w:marBottom w:val="0"/>
      <w:divBdr>
        <w:top w:val="none" w:sz="0" w:space="0" w:color="auto"/>
        <w:left w:val="none" w:sz="0" w:space="0" w:color="auto"/>
        <w:bottom w:val="none" w:sz="0" w:space="0" w:color="auto"/>
        <w:right w:val="none" w:sz="0" w:space="0" w:color="auto"/>
      </w:divBdr>
    </w:div>
    <w:div w:id="337467156">
      <w:bodyDiv w:val="1"/>
      <w:marLeft w:val="0"/>
      <w:marRight w:val="0"/>
      <w:marTop w:val="0"/>
      <w:marBottom w:val="0"/>
      <w:divBdr>
        <w:top w:val="none" w:sz="0" w:space="0" w:color="auto"/>
        <w:left w:val="none" w:sz="0" w:space="0" w:color="auto"/>
        <w:bottom w:val="none" w:sz="0" w:space="0" w:color="auto"/>
        <w:right w:val="none" w:sz="0" w:space="0" w:color="auto"/>
      </w:divBdr>
    </w:div>
    <w:div w:id="346909047">
      <w:bodyDiv w:val="1"/>
      <w:marLeft w:val="0"/>
      <w:marRight w:val="0"/>
      <w:marTop w:val="0"/>
      <w:marBottom w:val="0"/>
      <w:divBdr>
        <w:top w:val="none" w:sz="0" w:space="0" w:color="auto"/>
        <w:left w:val="none" w:sz="0" w:space="0" w:color="auto"/>
        <w:bottom w:val="none" w:sz="0" w:space="0" w:color="auto"/>
        <w:right w:val="none" w:sz="0" w:space="0" w:color="auto"/>
      </w:divBdr>
    </w:div>
    <w:div w:id="351540293">
      <w:bodyDiv w:val="1"/>
      <w:marLeft w:val="0"/>
      <w:marRight w:val="0"/>
      <w:marTop w:val="0"/>
      <w:marBottom w:val="0"/>
      <w:divBdr>
        <w:top w:val="none" w:sz="0" w:space="0" w:color="auto"/>
        <w:left w:val="none" w:sz="0" w:space="0" w:color="auto"/>
        <w:bottom w:val="none" w:sz="0" w:space="0" w:color="auto"/>
        <w:right w:val="none" w:sz="0" w:space="0" w:color="auto"/>
      </w:divBdr>
    </w:div>
    <w:div w:id="357245082">
      <w:bodyDiv w:val="1"/>
      <w:marLeft w:val="0"/>
      <w:marRight w:val="0"/>
      <w:marTop w:val="0"/>
      <w:marBottom w:val="0"/>
      <w:divBdr>
        <w:top w:val="none" w:sz="0" w:space="0" w:color="auto"/>
        <w:left w:val="none" w:sz="0" w:space="0" w:color="auto"/>
        <w:bottom w:val="none" w:sz="0" w:space="0" w:color="auto"/>
        <w:right w:val="none" w:sz="0" w:space="0" w:color="auto"/>
      </w:divBdr>
    </w:div>
    <w:div w:id="364713630">
      <w:bodyDiv w:val="1"/>
      <w:marLeft w:val="0"/>
      <w:marRight w:val="0"/>
      <w:marTop w:val="0"/>
      <w:marBottom w:val="0"/>
      <w:divBdr>
        <w:top w:val="none" w:sz="0" w:space="0" w:color="auto"/>
        <w:left w:val="none" w:sz="0" w:space="0" w:color="auto"/>
        <w:bottom w:val="none" w:sz="0" w:space="0" w:color="auto"/>
        <w:right w:val="none" w:sz="0" w:space="0" w:color="auto"/>
      </w:divBdr>
    </w:div>
    <w:div w:id="401829711">
      <w:bodyDiv w:val="1"/>
      <w:marLeft w:val="0"/>
      <w:marRight w:val="0"/>
      <w:marTop w:val="0"/>
      <w:marBottom w:val="0"/>
      <w:divBdr>
        <w:top w:val="none" w:sz="0" w:space="0" w:color="auto"/>
        <w:left w:val="none" w:sz="0" w:space="0" w:color="auto"/>
        <w:bottom w:val="none" w:sz="0" w:space="0" w:color="auto"/>
        <w:right w:val="none" w:sz="0" w:space="0" w:color="auto"/>
      </w:divBdr>
    </w:div>
    <w:div w:id="413164254">
      <w:bodyDiv w:val="1"/>
      <w:marLeft w:val="0"/>
      <w:marRight w:val="0"/>
      <w:marTop w:val="0"/>
      <w:marBottom w:val="0"/>
      <w:divBdr>
        <w:top w:val="none" w:sz="0" w:space="0" w:color="auto"/>
        <w:left w:val="none" w:sz="0" w:space="0" w:color="auto"/>
        <w:bottom w:val="none" w:sz="0" w:space="0" w:color="auto"/>
        <w:right w:val="none" w:sz="0" w:space="0" w:color="auto"/>
      </w:divBdr>
    </w:div>
    <w:div w:id="417753386">
      <w:bodyDiv w:val="1"/>
      <w:marLeft w:val="0"/>
      <w:marRight w:val="0"/>
      <w:marTop w:val="0"/>
      <w:marBottom w:val="0"/>
      <w:divBdr>
        <w:top w:val="none" w:sz="0" w:space="0" w:color="auto"/>
        <w:left w:val="none" w:sz="0" w:space="0" w:color="auto"/>
        <w:bottom w:val="none" w:sz="0" w:space="0" w:color="auto"/>
        <w:right w:val="none" w:sz="0" w:space="0" w:color="auto"/>
      </w:divBdr>
    </w:div>
    <w:div w:id="461728637">
      <w:bodyDiv w:val="1"/>
      <w:marLeft w:val="0"/>
      <w:marRight w:val="0"/>
      <w:marTop w:val="0"/>
      <w:marBottom w:val="0"/>
      <w:divBdr>
        <w:top w:val="none" w:sz="0" w:space="0" w:color="auto"/>
        <w:left w:val="none" w:sz="0" w:space="0" w:color="auto"/>
        <w:bottom w:val="none" w:sz="0" w:space="0" w:color="auto"/>
        <w:right w:val="none" w:sz="0" w:space="0" w:color="auto"/>
      </w:divBdr>
    </w:div>
    <w:div w:id="481389749">
      <w:bodyDiv w:val="1"/>
      <w:marLeft w:val="0"/>
      <w:marRight w:val="0"/>
      <w:marTop w:val="0"/>
      <w:marBottom w:val="0"/>
      <w:divBdr>
        <w:top w:val="none" w:sz="0" w:space="0" w:color="auto"/>
        <w:left w:val="none" w:sz="0" w:space="0" w:color="auto"/>
        <w:bottom w:val="none" w:sz="0" w:space="0" w:color="auto"/>
        <w:right w:val="none" w:sz="0" w:space="0" w:color="auto"/>
      </w:divBdr>
    </w:div>
    <w:div w:id="504630991">
      <w:bodyDiv w:val="1"/>
      <w:marLeft w:val="0"/>
      <w:marRight w:val="0"/>
      <w:marTop w:val="0"/>
      <w:marBottom w:val="0"/>
      <w:divBdr>
        <w:top w:val="none" w:sz="0" w:space="0" w:color="auto"/>
        <w:left w:val="none" w:sz="0" w:space="0" w:color="auto"/>
        <w:bottom w:val="none" w:sz="0" w:space="0" w:color="auto"/>
        <w:right w:val="none" w:sz="0" w:space="0" w:color="auto"/>
      </w:divBdr>
    </w:div>
    <w:div w:id="505903180">
      <w:bodyDiv w:val="1"/>
      <w:marLeft w:val="0"/>
      <w:marRight w:val="0"/>
      <w:marTop w:val="0"/>
      <w:marBottom w:val="0"/>
      <w:divBdr>
        <w:top w:val="none" w:sz="0" w:space="0" w:color="auto"/>
        <w:left w:val="none" w:sz="0" w:space="0" w:color="auto"/>
        <w:bottom w:val="none" w:sz="0" w:space="0" w:color="auto"/>
        <w:right w:val="none" w:sz="0" w:space="0" w:color="auto"/>
      </w:divBdr>
    </w:div>
    <w:div w:id="508839282">
      <w:bodyDiv w:val="1"/>
      <w:marLeft w:val="0"/>
      <w:marRight w:val="0"/>
      <w:marTop w:val="0"/>
      <w:marBottom w:val="0"/>
      <w:divBdr>
        <w:top w:val="none" w:sz="0" w:space="0" w:color="auto"/>
        <w:left w:val="none" w:sz="0" w:space="0" w:color="auto"/>
        <w:bottom w:val="none" w:sz="0" w:space="0" w:color="auto"/>
        <w:right w:val="none" w:sz="0" w:space="0" w:color="auto"/>
      </w:divBdr>
    </w:div>
    <w:div w:id="509367283">
      <w:bodyDiv w:val="1"/>
      <w:marLeft w:val="0"/>
      <w:marRight w:val="0"/>
      <w:marTop w:val="0"/>
      <w:marBottom w:val="0"/>
      <w:divBdr>
        <w:top w:val="none" w:sz="0" w:space="0" w:color="auto"/>
        <w:left w:val="none" w:sz="0" w:space="0" w:color="auto"/>
        <w:bottom w:val="none" w:sz="0" w:space="0" w:color="auto"/>
        <w:right w:val="none" w:sz="0" w:space="0" w:color="auto"/>
      </w:divBdr>
    </w:div>
    <w:div w:id="514925597">
      <w:bodyDiv w:val="1"/>
      <w:marLeft w:val="0"/>
      <w:marRight w:val="0"/>
      <w:marTop w:val="0"/>
      <w:marBottom w:val="0"/>
      <w:divBdr>
        <w:top w:val="none" w:sz="0" w:space="0" w:color="auto"/>
        <w:left w:val="none" w:sz="0" w:space="0" w:color="auto"/>
        <w:bottom w:val="none" w:sz="0" w:space="0" w:color="auto"/>
        <w:right w:val="none" w:sz="0" w:space="0" w:color="auto"/>
      </w:divBdr>
    </w:div>
    <w:div w:id="545223496">
      <w:bodyDiv w:val="1"/>
      <w:marLeft w:val="0"/>
      <w:marRight w:val="0"/>
      <w:marTop w:val="0"/>
      <w:marBottom w:val="0"/>
      <w:divBdr>
        <w:top w:val="none" w:sz="0" w:space="0" w:color="auto"/>
        <w:left w:val="none" w:sz="0" w:space="0" w:color="auto"/>
        <w:bottom w:val="none" w:sz="0" w:space="0" w:color="auto"/>
        <w:right w:val="none" w:sz="0" w:space="0" w:color="auto"/>
      </w:divBdr>
    </w:div>
    <w:div w:id="547955928">
      <w:bodyDiv w:val="1"/>
      <w:marLeft w:val="0"/>
      <w:marRight w:val="0"/>
      <w:marTop w:val="0"/>
      <w:marBottom w:val="0"/>
      <w:divBdr>
        <w:top w:val="none" w:sz="0" w:space="0" w:color="auto"/>
        <w:left w:val="none" w:sz="0" w:space="0" w:color="auto"/>
        <w:bottom w:val="none" w:sz="0" w:space="0" w:color="auto"/>
        <w:right w:val="none" w:sz="0" w:space="0" w:color="auto"/>
      </w:divBdr>
    </w:div>
    <w:div w:id="566575112">
      <w:bodyDiv w:val="1"/>
      <w:marLeft w:val="0"/>
      <w:marRight w:val="0"/>
      <w:marTop w:val="0"/>
      <w:marBottom w:val="0"/>
      <w:divBdr>
        <w:top w:val="none" w:sz="0" w:space="0" w:color="auto"/>
        <w:left w:val="none" w:sz="0" w:space="0" w:color="auto"/>
        <w:bottom w:val="none" w:sz="0" w:space="0" w:color="auto"/>
        <w:right w:val="none" w:sz="0" w:space="0" w:color="auto"/>
      </w:divBdr>
    </w:div>
    <w:div w:id="572810760">
      <w:bodyDiv w:val="1"/>
      <w:marLeft w:val="0"/>
      <w:marRight w:val="0"/>
      <w:marTop w:val="0"/>
      <w:marBottom w:val="0"/>
      <w:divBdr>
        <w:top w:val="none" w:sz="0" w:space="0" w:color="auto"/>
        <w:left w:val="none" w:sz="0" w:space="0" w:color="auto"/>
        <w:bottom w:val="none" w:sz="0" w:space="0" w:color="auto"/>
        <w:right w:val="none" w:sz="0" w:space="0" w:color="auto"/>
      </w:divBdr>
    </w:div>
    <w:div w:id="580603652">
      <w:bodyDiv w:val="1"/>
      <w:marLeft w:val="0"/>
      <w:marRight w:val="0"/>
      <w:marTop w:val="0"/>
      <w:marBottom w:val="0"/>
      <w:divBdr>
        <w:top w:val="none" w:sz="0" w:space="0" w:color="auto"/>
        <w:left w:val="none" w:sz="0" w:space="0" w:color="auto"/>
        <w:bottom w:val="none" w:sz="0" w:space="0" w:color="auto"/>
        <w:right w:val="none" w:sz="0" w:space="0" w:color="auto"/>
      </w:divBdr>
    </w:div>
    <w:div w:id="593782858">
      <w:bodyDiv w:val="1"/>
      <w:marLeft w:val="0"/>
      <w:marRight w:val="0"/>
      <w:marTop w:val="0"/>
      <w:marBottom w:val="0"/>
      <w:divBdr>
        <w:top w:val="none" w:sz="0" w:space="0" w:color="auto"/>
        <w:left w:val="none" w:sz="0" w:space="0" w:color="auto"/>
        <w:bottom w:val="none" w:sz="0" w:space="0" w:color="auto"/>
        <w:right w:val="none" w:sz="0" w:space="0" w:color="auto"/>
      </w:divBdr>
    </w:div>
    <w:div w:id="595940631">
      <w:bodyDiv w:val="1"/>
      <w:marLeft w:val="0"/>
      <w:marRight w:val="0"/>
      <w:marTop w:val="0"/>
      <w:marBottom w:val="0"/>
      <w:divBdr>
        <w:top w:val="none" w:sz="0" w:space="0" w:color="auto"/>
        <w:left w:val="none" w:sz="0" w:space="0" w:color="auto"/>
        <w:bottom w:val="none" w:sz="0" w:space="0" w:color="auto"/>
        <w:right w:val="none" w:sz="0" w:space="0" w:color="auto"/>
      </w:divBdr>
    </w:div>
    <w:div w:id="607203430">
      <w:bodyDiv w:val="1"/>
      <w:marLeft w:val="0"/>
      <w:marRight w:val="0"/>
      <w:marTop w:val="0"/>
      <w:marBottom w:val="0"/>
      <w:divBdr>
        <w:top w:val="none" w:sz="0" w:space="0" w:color="auto"/>
        <w:left w:val="none" w:sz="0" w:space="0" w:color="auto"/>
        <w:bottom w:val="none" w:sz="0" w:space="0" w:color="auto"/>
        <w:right w:val="none" w:sz="0" w:space="0" w:color="auto"/>
      </w:divBdr>
    </w:div>
    <w:div w:id="619579724">
      <w:bodyDiv w:val="1"/>
      <w:marLeft w:val="0"/>
      <w:marRight w:val="0"/>
      <w:marTop w:val="0"/>
      <w:marBottom w:val="0"/>
      <w:divBdr>
        <w:top w:val="none" w:sz="0" w:space="0" w:color="auto"/>
        <w:left w:val="none" w:sz="0" w:space="0" w:color="auto"/>
        <w:bottom w:val="none" w:sz="0" w:space="0" w:color="auto"/>
        <w:right w:val="none" w:sz="0" w:space="0" w:color="auto"/>
      </w:divBdr>
    </w:div>
    <w:div w:id="637220344">
      <w:bodyDiv w:val="1"/>
      <w:marLeft w:val="0"/>
      <w:marRight w:val="0"/>
      <w:marTop w:val="0"/>
      <w:marBottom w:val="0"/>
      <w:divBdr>
        <w:top w:val="none" w:sz="0" w:space="0" w:color="auto"/>
        <w:left w:val="none" w:sz="0" w:space="0" w:color="auto"/>
        <w:bottom w:val="none" w:sz="0" w:space="0" w:color="auto"/>
        <w:right w:val="none" w:sz="0" w:space="0" w:color="auto"/>
      </w:divBdr>
    </w:div>
    <w:div w:id="662465757">
      <w:bodyDiv w:val="1"/>
      <w:marLeft w:val="0"/>
      <w:marRight w:val="0"/>
      <w:marTop w:val="0"/>
      <w:marBottom w:val="0"/>
      <w:divBdr>
        <w:top w:val="none" w:sz="0" w:space="0" w:color="auto"/>
        <w:left w:val="none" w:sz="0" w:space="0" w:color="auto"/>
        <w:bottom w:val="none" w:sz="0" w:space="0" w:color="auto"/>
        <w:right w:val="none" w:sz="0" w:space="0" w:color="auto"/>
      </w:divBdr>
    </w:div>
    <w:div w:id="664824425">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695279734">
      <w:bodyDiv w:val="1"/>
      <w:marLeft w:val="0"/>
      <w:marRight w:val="0"/>
      <w:marTop w:val="0"/>
      <w:marBottom w:val="0"/>
      <w:divBdr>
        <w:top w:val="none" w:sz="0" w:space="0" w:color="auto"/>
        <w:left w:val="none" w:sz="0" w:space="0" w:color="auto"/>
        <w:bottom w:val="none" w:sz="0" w:space="0" w:color="auto"/>
        <w:right w:val="none" w:sz="0" w:space="0" w:color="auto"/>
      </w:divBdr>
    </w:div>
    <w:div w:id="707141700">
      <w:bodyDiv w:val="1"/>
      <w:marLeft w:val="0"/>
      <w:marRight w:val="0"/>
      <w:marTop w:val="0"/>
      <w:marBottom w:val="0"/>
      <w:divBdr>
        <w:top w:val="none" w:sz="0" w:space="0" w:color="auto"/>
        <w:left w:val="none" w:sz="0" w:space="0" w:color="auto"/>
        <w:bottom w:val="none" w:sz="0" w:space="0" w:color="auto"/>
        <w:right w:val="none" w:sz="0" w:space="0" w:color="auto"/>
      </w:divBdr>
    </w:div>
    <w:div w:id="708648330">
      <w:bodyDiv w:val="1"/>
      <w:marLeft w:val="0"/>
      <w:marRight w:val="0"/>
      <w:marTop w:val="0"/>
      <w:marBottom w:val="0"/>
      <w:divBdr>
        <w:top w:val="none" w:sz="0" w:space="0" w:color="auto"/>
        <w:left w:val="none" w:sz="0" w:space="0" w:color="auto"/>
        <w:bottom w:val="none" w:sz="0" w:space="0" w:color="auto"/>
        <w:right w:val="none" w:sz="0" w:space="0" w:color="auto"/>
      </w:divBdr>
    </w:div>
    <w:div w:id="713892835">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43650922">
      <w:bodyDiv w:val="1"/>
      <w:marLeft w:val="0"/>
      <w:marRight w:val="0"/>
      <w:marTop w:val="0"/>
      <w:marBottom w:val="0"/>
      <w:divBdr>
        <w:top w:val="none" w:sz="0" w:space="0" w:color="auto"/>
        <w:left w:val="none" w:sz="0" w:space="0" w:color="auto"/>
        <w:bottom w:val="none" w:sz="0" w:space="0" w:color="auto"/>
        <w:right w:val="none" w:sz="0" w:space="0" w:color="auto"/>
      </w:divBdr>
    </w:div>
    <w:div w:id="757365805">
      <w:bodyDiv w:val="1"/>
      <w:marLeft w:val="0"/>
      <w:marRight w:val="0"/>
      <w:marTop w:val="0"/>
      <w:marBottom w:val="0"/>
      <w:divBdr>
        <w:top w:val="none" w:sz="0" w:space="0" w:color="auto"/>
        <w:left w:val="none" w:sz="0" w:space="0" w:color="auto"/>
        <w:bottom w:val="none" w:sz="0" w:space="0" w:color="auto"/>
        <w:right w:val="none" w:sz="0" w:space="0" w:color="auto"/>
      </w:divBdr>
    </w:div>
    <w:div w:id="776829834">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786582158">
      <w:bodyDiv w:val="1"/>
      <w:marLeft w:val="0"/>
      <w:marRight w:val="0"/>
      <w:marTop w:val="0"/>
      <w:marBottom w:val="0"/>
      <w:divBdr>
        <w:top w:val="none" w:sz="0" w:space="0" w:color="auto"/>
        <w:left w:val="none" w:sz="0" w:space="0" w:color="auto"/>
        <w:bottom w:val="none" w:sz="0" w:space="0" w:color="auto"/>
        <w:right w:val="none" w:sz="0" w:space="0" w:color="auto"/>
      </w:divBdr>
    </w:div>
    <w:div w:id="800266877">
      <w:bodyDiv w:val="1"/>
      <w:marLeft w:val="0"/>
      <w:marRight w:val="0"/>
      <w:marTop w:val="0"/>
      <w:marBottom w:val="0"/>
      <w:divBdr>
        <w:top w:val="none" w:sz="0" w:space="0" w:color="auto"/>
        <w:left w:val="none" w:sz="0" w:space="0" w:color="auto"/>
        <w:bottom w:val="none" w:sz="0" w:space="0" w:color="auto"/>
        <w:right w:val="none" w:sz="0" w:space="0" w:color="auto"/>
      </w:divBdr>
    </w:div>
    <w:div w:id="814445650">
      <w:bodyDiv w:val="1"/>
      <w:marLeft w:val="0"/>
      <w:marRight w:val="0"/>
      <w:marTop w:val="0"/>
      <w:marBottom w:val="0"/>
      <w:divBdr>
        <w:top w:val="none" w:sz="0" w:space="0" w:color="auto"/>
        <w:left w:val="none" w:sz="0" w:space="0" w:color="auto"/>
        <w:bottom w:val="none" w:sz="0" w:space="0" w:color="auto"/>
        <w:right w:val="none" w:sz="0" w:space="0" w:color="auto"/>
      </w:divBdr>
    </w:div>
    <w:div w:id="832330369">
      <w:bodyDiv w:val="1"/>
      <w:marLeft w:val="0"/>
      <w:marRight w:val="0"/>
      <w:marTop w:val="0"/>
      <w:marBottom w:val="0"/>
      <w:divBdr>
        <w:top w:val="none" w:sz="0" w:space="0" w:color="auto"/>
        <w:left w:val="none" w:sz="0" w:space="0" w:color="auto"/>
        <w:bottom w:val="none" w:sz="0" w:space="0" w:color="auto"/>
        <w:right w:val="none" w:sz="0" w:space="0" w:color="auto"/>
      </w:divBdr>
    </w:div>
    <w:div w:id="854461203">
      <w:bodyDiv w:val="1"/>
      <w:marLeft w:val="0"/>
      <w:marRight w:val="0"/>
      <w:marTop w:val="0"/>
      <w:marBottom w:val="0"/>
      <w:divBdr>
        <w:top w:val="none" w:sz="0" w:space="0" w:color="auto"/>
        <w:left w:val="none" w:sz="0" w:space="0" w:color="auto"/>
        <w:bottom w:val="none" w:sz="0" w:space="0" w:color="auto"/>
        <w:right w:val="none" w:sz="0" w:space="0" w:color="auto"/>
      </w:divBdr>
    </w:div>
    <w:div w:id="883370812">
      <w:bodyDiv w:val="1"/>
      <w:marLeft w:val="0"/>
      <w:marRight w:val="0"/>
      <w:marTop w:val="0"/>
      <w:marBottom w:val="0"/>
      <w:divBdr>
        <w:top w:val="none" w:sz="0" w:space="0" w:color="auto"/>
        <w:left w:val="none" w:sz="0" w:space="0" w:color="auto"/>
        <w:bottom w:val="none" w:sz="0" w:space="0" w:color="auto"/>
        <w:right w:val="none" w:sz="0" w:space="0" w:color="auto"/>
      </w:divBdr>
    </w:div>
    <w:div w:id="909312446">
      <w:bodyDiv w:val="1"/>
      <w:marLeft w:val="0"/>
      <w:marRight w:val="0"/>
      <w:marTop w:val="0"/>
      <w:marBottom w:val="0"/>
      <w:divBdr>
        <w:top w:val="none" w:sz="0" w:space="0" w:color="auto"/>
        <w:left w:val="none" w:sz="0" w:space="0" w:color="auto"/>
        <w:bottom w:val="none" w:sz="0" w:space="0" w:color="auto"/>
        <w:right w:val="none" w:sz="0" w:space="0" w:color="auto"/>
      </w:divBdr>
    </w:div>
    <w:div w:id="917401721">
      <w:bodyDiv w:val="1"/>
      <w:marLeft w:val="0"/>
      <w:marRight w:val="0"/>
      <w:marTop w:val="0"/>
      <w:marBottom w:val="0"/>
      <w:divBdr>
        <w:top w:val="none" w:sz="0" w:space="0" w:color="auto"/>
        <w:left w:val="none" w:sz="0" w:space="0" w:color="auto"/>
        <w:bottom w:val="none" w:sz="0" w:space="0" w:color="auto"/>
        <w:right w:val="none" w:sz="0" w:space="0" w:color="auto"/>
      </w:divBdr>
    </w:div>
    <w:div w:id="966006004">
      <w:bodyDiv w:val="1"/>
      <w:marLeft w:val="0"/>
      <w:marRight w:val="0"/>
      <w:marTop w:val="0"/>
      <w:marBottom w:val="0"/>
      <w:divBdr>
        <w:top w:val="none" w:sz="0" w:space="0" w:color="auto"/>
        <w:left w:val="none" w:sz="0" w:space="0" w:color="auto"/>
        <w:bottom w:val="none" w:sz="0" w:space="0" w:color="auto"/>
        <w:right w:val="none" w:sz="0" w:space="0" w:color="auto"/>
      </w:divBdr>
    </w:div>
    <w:div w:id="975332296">
      <w:bodyDiv w:val="1"/>
      <w:marLeft w:val="0"/>
      <w:marRight w:val="0"/>
      <w:marTop w:val="0"/>
      <w:marBottom w:val="0"/>
      <w:divBdr>
        <w:top w:val="none" w:sz="0" w:space="0" w:color="auto"/>
        <w:left w:val="none" w:sz="0" w:space="0" w:color="auto"/>
        <w:bottom w:val="none" w:sz="0" w:space="0" w:color="auto"/>
        <w:right w:val="none" w:sz="0" w:space="0" w:color="auto"/>
      </w:divBdr>
    </w:div>
    <w:div w:id="1006710143">
      <w:bodyDiv w:val="1"/>
      <w:marLeft w:val="0"/>
      <w:marRight w:val="0"/>
      <w:marTop w:val="0"/>
      <w:marBottom w:val="0"/>
      <w:divBdr>
        <w:top w:val="none" w:sz="0" w:space="0" w:color="auto"/>
        <w:left w:val="none" w:sz="0" w:space="0" w:color="auto"/>
        <w:bottom w:val="none" w:sz="0" w:space="0" w:color="auto"/>
        <w:right w:val="none" w:sz="0" w:space="0" w:color="auto"/>
      </w:divBdr>
    </w:div>
    <w:div w:id="1008752618">
      <w:bodyDiv w:val="1"/>
      <w:marLeft w:val="0"/>
      <w:marRight w:val="0"/>
      <w:marTop w:val="0"/>
      <w:marBottom w:val="0"/>
      <w:divBdr>
        <w:top w:val="none" w:sz="0" w:space="0" w:color="auto"/>
        <w:left w:val="none" w:sz="0" w:space="0" w:color="auto"/>
        <w:bottom w:val="none" w:sz="0" w:space="0" w:color="auto"/>
        <w:right w:val="none" w:sz="0" w:space="0" w:color="auto"/>
      </w:divBdr>
    </w:div>
    <w:div w:id="1042365899">
      <w:bodyDiv w:val="1"/>
      <w:marLeft w:val="0"/>
      <w:marRight w:val="0"/>
      <w:marTop w:val="0"/>
      <w:marBottom w:val="0"/>
      <w:divBdr>
        <w:top w:val="none" w:sz="0" w:space="0" w:color="auto"/>
        <w:left w:val="none" w:sz="0" w:space="0" w:color="auto"/>
        <w:bottom w:val="none" w:sz="0" w:space="0" w:color="auto"/>
        <w:right w:val="none" w:sz="0" w:space="0" w:color="auto"/>
      </w:divBdr>
    </w:div>
    <w:div w:id="1049299047">
      <w:bodyDiv w:val="1"/>
      <w:marLeft w:val="0"/>
      <w:marRight w:val="0"/>
      <w:marTop w:val="0"/>
      <w:marBottom w:val="0"/>
      <w:divBdr>
        <w:top w:val="none" w:sz="0" w:space="0" w:color="auto"/>
        <w:left w:val="none" w:sz="0" w:space="0" w:color="auto"/>
        <w:bottom w:val="none" w:sz="0" w:space="0" w:color="auto"/>
        <w:right w:val="none" w:sz="0" w:space="0" w:color="auto"/>
      </w:divBdr>
    </w:div>
    <w:div w:id="1067996293">
      <w:bodyDiv w:val="1"/>
      <w:marLeft w:val="0"/>
      <w:marRight w:val="0"/>
      <w:marTop w:val="0"/>
      <w:marBottom w:val="0"/>
      <w:divBdr>
        <w:top w:val="none" w:sz="0" w:space="0" w:color="auto"/>
        <w:left w:val="none" w:sz="0" w:space="0" w:color="auto"/>
        <w:bottom w:val="none" w:sz="0" w:space="0" w:color="auto"/>
        <w:right w:val="none" w:sz="0" w:space="0" w:color="auto"/>
      </w:divBdr>
    </w:div>
    <w:div w:id="1080056357">
      <w:bodyDiv w:val="1"/>
      <w:marLeft w:val="0"/>
      <w:marRight w:val="0"/>
      <w:marTop w:val="0"/>
      <w:marBottom w:val="0"/>
      <w:divBdr>
        <w:top w:val="none" w:sz="0" w:space="0" w:color="auto"/>
        <w:left w:val="none" w:sz="0" w:space="0" w:color="auto"/>
        <w:bottom w:val="none" w:sz="0" w:space="0" w:color="auto"/>
        <w:right w:val="none" w:sz="0" w:space="0" w:color="auto"/>
      </w:divBdr>
    </w:div>
    <w:div w:id="1108695162">
      <w:bodyDiv w:val="1"/>
      <w:marLeft w:val="0"/>
      <w:marRight w:val="0"/>
      <w:marTop w:val="0"/>
      <w:marBottom w:val="0"/>
      <w:divBdr>
        <w:top w:val="none" w:sz="0" w:space="0" w:color="auto"/>
        <w:left w:val="none" w:sz="0" w:space="0" w:color="auto"/>
        <w:bottom w:val="none" w:sz="0" w:space="0" w:color="auto"/>
        <w:right w:val="none" w:sz="0" w:space="0" w:color="auto"/>
      </w:divBdr>
    </w:div>
    <w:div w:id="1116290550">
      <w:bodyDiv w:val="1"/>
      <w:marLeft w:val="0"/>
      <w:marRight w:val="0"/>
      <w:marTop w:val="0"/>
      <w:marBottom w:val="0"/>
      <w:divBdr>
        <w:top w:val="none" w:sz="0" w:space="0" w:color="auto"/>
        <w:left w:val="none" w:sz="0" w:space="0" w:color="auto"/>
        <w:bottom w:val="none" w:sz="0" w:space="0" w:color="auto"/>
        <w:right w:val="none" w:sz="0" w:space="0" w:color="auto"/>
      </w:divBdr>
    </w:div>
    <w:div w:id="1126656057">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186598853">
      <w:bodyDiv w:val="1"/>
      <w:marLeft w:val="0"/>
      <w:marRight w:val="0"/>
      <w:marTop w:val="0"/>
      <w:marBottom w:val="0"/>
      <w:divBdr>
        <w:top w:val="none" w:sz="0" w:space="0" w:color="auto"/>
        <w:left w:val="none" w:sz="0" w:space="0" w:color="auto"/>
        <w:bottom w:val="none" w:sz="0" w:space="0" w:color="auto"/>
        <w:right w:val="none" w:sz="0" w:space="0" w:color="auto"/>
      </w:divBdr>
    </w:div>
    <w:div w:id="1223567413">
      <w:bodyDiv w:val="1"/>
      <w:marLeft w:val="0"/>
      <w:marRight w:val="0"/>
      <w:marTop w:val="0"/>
      <w:marBottom w:val="0"/>
      <w:divBdr>
        <w:top w:val="none" w:sz="0" w:space="0" w:color="auto"/>
        <w:left w:val="none" w:sz="0" w:space="0" w:color="auto"/>
        <w:bottom w:val="none" w:sz="0" w:space="0" w:color="auto"/>
        <w:right w:val="none" w:sz="0" w:space="0" w:color="auto"/>
      </w:divBdr>
    </w:div>
    <w:div w:id="1223716772">
      <w:bodyDiv w:val="1"/>
      <w:marLeft w:val="0"/>
      <w:marRight w:val="0"/>
      <w:marTop w:val="0"/>
      <w:marBottom w:val="0"/>
      <w:divBdr>
        <w:top w:val="none" w:sz="0" w:space="0" w:color="auto"/>
        <w:left w:val="none" w:sz="0" w:space="0" w:color="auto"/>
        <w:bottom w:val="none" w:sz="0" w:space="0" w:color="auto"/>
        <w:right w:val="none" w:sz="0" w:space="0" w:color="auto"/>
      </w:divBdr>
    </w:div>
    <w:div w:id="1227030787">
      <w:bodyDiv w:val="1"/>
      <w:marLeft w:val="0"/>
      <w:marRight w:val="0"/>
      <w:marTop w:val="0"/>
      <w:marBottom w:val="0"/>
      <w:divBdr>
        <w:top w:val="none" w:sz="0" w:space="0" w:color="auto"/>
        <w:left w:val="none" w:sz="0" w:space="0" w:color="auto"/>
        <w:bottom w:val="none" w:sz="0" w:space="0" w:color="auto"/>
        <w:right w:val="none" w:sz="0" w:space="0" w:color="auto"/>
      </w:divBdr>
    </w:div>
    <w:div w:id="1264804730">
      <w:bodyDiv w:val="1"/>
      <w:marLeft w:val="0"/>
      <w:marRight w:val="0"/>
      <w:marTop w:val="0"/>
      <w:marBottom w:val="0"/>
      <w:divBdr>
        <w:top w:val="none" w:sz="0" w:space="0" w:color="auto"/>
        <w:left w:val="none" w:sz="0" w:space="0" w:color="auto"/>
        <w:bottom w:val="none" w:sz="0" w:space="0" w:color="auto"/>
        <w:right w:val="none" w:sz="0" w:space="0" w:color="auto"/>
      </w:divBdr>
    </w:div>
    <w:div w:id="1294871193">
      <w:bodyDiv w:val="1"/>
      <w:marLeft w:val="0"/>
      <w:marRight w:val="0"/>
      <w:marTop w:val="0"/>
      <w:marBottom w:val="0"/>
      <w:divBdr>
        <w:top w:val="none" w:sz="0" w:space="0" w:color="auto"/>
        <w:left w:val="none" w:sz="0" w:space="0" w:color="auto"/>
        <w:bottom w:val="none" w:sz="0" w:space="0" w:color="auto"/>
        <w:right w:val="none" w:sz="0" w:space="0" w:color="auto"/>
      </w:divBdr>
    </w:div>
    <w:div w:id="1311713175">
      <w:bodyDiv w:val="1"/>
      <w:marLeft w:val="0"/>
      <w:marRight w:val="0"/>
      <w:marTop w:val="0"/>
      <w:marBottom w:val="0"/>
      <w:divBdr>
        <w:top w:val="none" w:sz="0" w:space="0" w:color="auto"/>
        <w:left w:val="none" w:sz="0" w:space="0" w:color="auto"/>
        <w:bottom w:val="none" w:sz="0" w:space="0" w:color="auto"/>
        <w:right w:val="none" w:sz="0" w:space="0" w:color="auto"/>
      </w:divBdr>
    </w:div>
    <w:div w:id="1318462807">
      <w:bodyDiv w:val="1"/>
      <w:marLeft w:val="0"/>
      <w:marRight w:val="0"/>
      <w:marTop w:val="0"/>
      <w:marBottom w:val="0"/>
      <w:divBdr>
        <w:top w:val="none" w:sz="0" w:space="0" w:color="auto"/>
        <w:left w:val="none" w:sz="0" w:space="0" w:color="auto"/>
        <w:bottom w:val="none" w:sz="0" w:space="0" w:color="auto"/>
        <w:right w:val="none" w:sz="0" w:space="0" w:color="auto"/>
      </w:divBdr>
    </w:div>
    <w:div w:id="1329093122">
      <w:bodyDiv w:val="1"/>
      <w:marLeft w:val="0"/>
      <w:marRight w:val="0"/>
      <w:marTop w:val="0"/>
      <w:marBottom w:val="0"/>
      <w:divBdr>
        <w:top w:val="none" w:sz="0" w:space="0" w:color="auto"/>
        <w:left w:val="none" w:sz="0" w:space="0" w:color="auto"/>
        <w:bottom w:val="none" w:sz="0" w:space="0" w:color="auto"/>
        <w:right w:val="none" w:sz="0" w:space="0" w:color="auto"/>
      </w:divBdr>
    </w:div>
    <w:div w:id="1365666445">
      <w:bodyDiv w:val="1"/>
      <w:marLeft w:val="0"/>
      <w:marRight w:val="0"/>
      <w:marTop w:val="0"/>
      <w:marBottom w:val="0"/>
      <w:divBdr>
        <w:top w:val="none" w:sz="0" w:space="0" w:color="auto"/>
        <w:left w:val="none" w:sz="0" w:space="0" w:color="auto"/>
        <w:bottom w:val="none" w:sz="0" w:space="0" w:color="auto"/>
        <w:right w:val="none" w:sz="0" w:space="0" w:color="auto"/>
      </w:divBdr>
    </w:div>
    <w:div w:id="1384138700">
      <w:bodyDiv w:val="1"/>
      <w:marLeft w:val="0"/>
      <w:marRight w:val="0"/>
      <w:marTop w:val="0"/>
      <w:marBottom w:val="0"/>
      <w:divBdr>
        <w:top w:val="none" w:sz="0" w:space="0" w:color="auto"/>
        <w:left w:val="none" w:sz="0" w:space="0" w:color="auto"/>
        <w:bottom w:val="none" w:sz="0" w:space="0" w:color="auto"/>
        <w:right w:val="none" w:sz="0" w:space="0" w:color="auto"/>
      </w:divBdr>
    </w:div>
    <w:div w:id="1384672875">
      <w:bodyDiv w:val="1"/>
      <w:marLeft w:val="0"/>
      <w:marRight w:val="0"/>
      <w:marTop w:val="0"/>
      <w:marBottom w:val="0"/>
      <w:divBdr>
        <w:top w:val="none" w:sz="0" w:space="0" w:color="auto"/>
        <w:left w:val="none" w:sz="0" w:space="0" w:color="auto"/>
        <w:bottom w:val="none" w:sz="0" w:space="0" w:color="auto"/>
        <w:right w:val="none" w:sz="0" w:space="0" w:color="auto"/>
      </w:divBdr>
    </w:div>
    <w:div w:id="1386643246">
      <w:bodyDiv w:val="1"/>
      <w:marLeft w:val="0"/>
      <w:marRight w:val="0"/>
      <w:marTop w:val="0"/>
      <w:marBottom w:val="0"/>
      <w:divBdr>
        <w:top w:val="none" w:sz="0" w:space="0" w:color="auto"/>
        <w:left w:val="none" w:sz="0" w:space="0" w:color="auto"/>
        <w:bottom w:val="none" w:sz="0" w:space="0" w:color="auto"/>
        <w:right w:val="none" w:sz="0" w:space="0" w:color="auto"/>
      </w:divBdr>
    </w:div>
    <w:div w:id="1391079043">
      <w:bodyDiv w:val="1"/>
      <w:marLeft w:val="0"/>
      <w:marRight w:val="0"/>
      <w:marTop w:val="0"/>
      <w:marBottom w:val="0"/>
      <w:divBdr>
        <w:top w:val="none" w:sz="0" w:space="0" w:color="auto"/>
        <w:left w:val="none" w:sz="0" w:space="0" w:color="auto"/>
        <w:bottom w:val="none" w:sz="0" w:space="0" w:color="auto"/>
        <w:right w:val="none" w:sz="0" w:space="0" w:color="auto"/>
      </w:divBdr>
    </w:div>
    <w:div w:id="1411779867">
      <w:bodyDiv w:val="1"/>
      <w:marLeft w:val="0"/>
      <w:marRight w:val="0"/>
      <w:marTop w:val="0"/>
      <w:marBottom w:val="0"/>
      <w:divBdr>
        <w:top w:val="none" w:sz="0" w:space="0" w:color="auto"/>
        <w:left w:val="none" w:sz="0" w:space="0" w:color="auto"/>
        <w:bottom w:val="none" w:sz="0" w:space="0" w:color="auto"/>
        <w:right w:val="none" w:sz="0" w:space="0" w:color="auto"/>
      </w:divBdr>
    </w:div>
    <w:div w:id="1418744373">
      <w:bodyDiv w:val="1"/>
      <w:marLeft w:val="0"/>
      <w:marRight w:val="0"/>
      <w:marTop w:val="0"/>
      <w:marBottom w:val="0"/>
      <w:divBdr>
        <w:top w:val="none" w:sz="0" w:space="0" w:color="auto"/>
        <w:left w:val="none" w:sz="0" w:space="0" w:color="auto"/>
        <w:bottom w:val="none" w:sz="0" w:space="0" w:color="auto"/>
        <w:right w:val="none" w:sz="0" w:space="0" w:color="auto"/>
      </w:divBdr>
    </w:div>
    <w:div w:id="1425344233">
      <w:bodyDiv w:val="1"/>
      <w:marLeft w:val="0"/>
      <w:marRight w:val="0"/>
      <w:marTop w:val="0"/>
      <w:marBottom w:val="0"/>
      <w:divBdr>
        <w:top w:val="none" w:sz="0" w:space="0" w:color="auto"/>
        <w:left w:val="none" w:sz="0" w:space="0" w:color="auto"/>
        <w:bottom w:val="none" w:sz="0" w:space="0" w:color="auto"/>
        <w:right w:val="none" w:sz="0" w:space="0" w:color="auto"/>
      </w:divBdr>
    </w:div>
    <w:div w:id="1457138787">
      <w:bodyDiv w:val="1"/>
      <w:marLeft w:val="0"/>
      <w:marRight w:val="0"/>
      <w:marTop w:val="0"/>
      <w:marBottom w:val="0"/>
      <w:divBdr>
        <w:top w:val="none" w:sz="0" w:space="0" w:color="auto"/>
        <w:left w:val="none" w:sz="0" w:space="0" w:color="auto"/>
        <w:bottom w:val="none" w:sz="0" w:space="0" w:color="auto"/>
        <w:right w:val="none" w:sz="0" w:space="0" w:color="auto"/>
      </w:divBdr>
    </w:div>
    <w:div w:id="1471705076">
      <w:bodyDiv w:val="1"/>
      <w:marLeft w:val="0"/>
      <w:marRight w:val="0"/>
      <w:marTop w:val="0"/>
      <w:marBottom w:val="0"/>
      <w:divBdr>
        <w:top w:val="none" w:sz="0" w:space="0" w:color="auto"/>
        <w:left w:val="none" w:sz="0" w:space="0" w:color="auto"/>
        <w:bottom w:val="none" w:sz="0" w:space="0" w:color="auto"/>
        <w:right w:val="none" w:sz="0" w:space="0" w:color="auto"/>
      </w:divBdr>
    </w:div>
    <w:div w:id="1487631069">
      <w:bodyDiv w:val="1"/>
      <w:marLeft w:val="0"/>
      <w:marRight w:val="0"/>
      <w:marTop w:val="0"/>
      <w:marBottom w:val="0"/>
      <w:divBdr>
        <w:top w:val="none" w:sz="0" w:space="0" w:color="auto"/>
        <w:left w:val="none" w:sz="0" w:space="0" w:color="auto"/>
        <w:bottom w:val="none" w:sz="0" w:space="0" w:color="auto"/>
        <w:right w:val="none" w:sz="0" w:space="0" w:color="auto"/>
      </w:divBdr>
    </w:div>
    <w:div w:id="1522890085">
      <w:bodyDiv w:val="1"/>
      <w:marLeft w:val="0"/>
      <w:marRight w:val="0"/>
      <w:marTop w:val="0"/>
      <w:marBottom w:val="0"/>
      <w:divBdr>
        <w:top w:val="none" w:sz="0" w:space="0" w:color="auto"/>
        <w:left w:val="none" w:sz="0" w:space="0" w:color="auto"/>
        <w:bottom w:val="none" w:sz="0" w:space="0" w:color="auto"/>
        <w:right w:val="none" w:sz="0" w:space="0" w:color="auto"/>
      </w:divBdr>
    </w:div>
    <w:div w:id="1532112160">
      <w:bodyDiv w:val="1"/>
      <w:marLeft w:val="0"/>
      <w:marRight w:val="0"/>
      <w:marTop w:val="0"/>
      <w:marBottom w:val="0"/>
      <w:divBdr>
        <w:top w:val="none" w:sz="0" w:space="0" w:color="auto"/>
        <w:left w:val="none" w:sz="0" w:space="0" w:color="auto"/>
        <w:bottom w:val="none" w:sz="0" w:space="0" w:color="auto"/>
        <w:right w:val="none" w:sz="0" w:space="0" w:color="auto"/>
      </w:divBdr>
    </w:div>
    <w:div w:id="1547911158">
      <w:bodyDiv w:val="1"/>
      <w:marLeft w:val="0"/>
      <w:marRight w:val="0"/>
      <w:marTop w:val="0"/>
      <w:marBottom w:val="0"/>
      <w:divBdr>
        <w:top w:val="none" w:sz="0" w:space="0" w:color="auto"/>
        <w:left w:val="none" w:sz="0" w:space="0" w:color="auto"/>
        <w:bottom w:val="none" w:sz="0" w:space="0" w:color="auto"/>
        <w:right w:val="none" w:sz="0" w:space="0" w:color="auto"/>
      </w:divBdr>
    </w:div>
    <w:div w:id="1584140599">
      <w:bodyDiv w:val="1"/>
      <w:marLeft w:val="0"/>
      <w:marRight w:val="0"/>
      <w:marTop w:val="0"/>
      <w:marBottom w:val="0"/>
      <w:divBdr>
        <w:top w:val="none" w:sz="0" w:space="0" w:color="auto"/>
        <w:left w:val="none" w:sz="0" w:space="0" w:color="auto"/>
        <w:bottom w:val="none" w:sz="0" w:space="0" w:color="auto"/>
        <w:right w:val="none" w:sz="0" w:space="0" w:color="auto"/>
      </w:divBdr>
    </w:div>
    <w:div w:id="1588416397">
      <w:bodyDiv w:val="1"/>
      <w:marLeft w:val="0"/>
      <w:marRight w:val="0"/>
      <w:marTop w:val="0"/>
      <w:marBottom w:val="0"/>
      <w:divBdr>
        <w:top w:val="none" w:sz="0" w:space="0" w:color="auto"/>
        <w:left w:val="none" w:sz="0" w:space="0" w:color="auto"/>
        <w:bottom w:val="none" w:sz="0" w:space="0" w:color="auto"/>
        <w:right w:val="none" w:sz="0" w:space="0" w:color="auto"/>
      </w:divBdr>
    </w:div>
    <w:div w:id="1603486926">
      <w:bodyDiv w:val="1"/>
      <w:marLeft w:val="0"/>
      <w:marRight w:val="0"/>
      <w:marTop w:val="0"/>
      <w:marBottom w:val="0"/>
      <w:divBdr>
        <w:top w:val="none" w:sz="0" w:space="0" w:color="auto"/>
        <w:left w:val="none" w:sz="0" w:space="0" w:color="auto"/>
        <w:bottom w:val="none" w:sz="0" w:space="0" w:color="auto"/>
        <w:right w:val="none" w:sz="0" w:space="0" w:color="auto"/>
      </w:divBdr>
    </w:div>
    <w:div w:id="1620524829">
      <w:bodyDiv w:val="1"/>
      <w:marLeft w:val="0"/>
      <w:marRight w:val="0"/>
      <w:marTop w:val="0"/>
      <w:marBottom w:val="0"/>
      <w:divBdr>
        <w:top w:val="none" w:sz="0" w:space="0" w:color="auto"/>
        <w:left w:val="none" w:sz="0" w:space="0" w:color="auto"/>
        <w:bottom w:val="none" w:sz="0" w:space="0" w:color="auto"/>
        <w:right w:val="none" w:sz="0" w:space="0" w:color="auto"/>
      </w:divBdr>
    </w:div>
    <w:div w:id="1629585375">
      <w:bodyDiv w:val="1"/>
      <w:marLeft w:val="0"/>
      <w:marRight w:val="0"/>
      <w:marTop w:val="0"/>
      <w:marBottom w:val="0"/>
      <w:divBdr>
        <w:top w:val="none" w:sz="0" w:space="0" w:color="auto"/>
        <w:left w:val="none" w:sz="0" w:space="0" w:color="auto"/>
        <w:bottom w:val="none" w:sz="0" w:space="0" w:color="auto"/>
        <w:right w:val="none" w:sz="0" w:space="0" w:color="auto"/>
      </w:divBdr>
    </w:div>
    <w:div w:id="1663044197">
      <w:bodyDiv w:val="1"/>
      <w:marLeft w:val="0"/>
      <w:marRight w:val="0"/>
      <w:marTop w:val="0"/>
      <w:marBottom w:val="0"/>
      <w:divBdr>
        <w:top w:val="none" w:sz="0" w:space="0" w:color="auto"/>
        <w:left w:val="none" w:sz="0" w:space="0" w:color="auto"/>
        <w:bottom w:val="none" w:sz="0" w:space="0" w:color="auto"/>
        <w:right w:val="none" w:sz="0" w:space="0" w:color="auto"/>
      </w:divBdr>
    </w:div>
    <w:div w:id="1664579300">
      <w:bodyDiv w:val="1"/>
      <w:marLeft w:val="0"/>
      <w:marRight w:val="0"/>
      <w:marTop w:val="0"/>
      <w:marBottom w:val="0"/>
      <w:divBdr>
        <w:top w:val="none" w:sz="0" w:space="0" w:color="auto"/>
        <w:left w:val="none" w:sz="0" w:space="0" w:color="auto"/>
        <w:bottom w:val="none" w:sz="0" w:space="0" w:color="auto"/>
        <w:right w:val="none" w:sz="0" w:space="0" w:color="auto"/>
      </w:divBdr>
    </w:div>
    <w:div w:id="1669942644">
      <w:bodyDiv w:val="1"/>
      <w:marLeft w:val="0"/>
      <w:marRight w:val="0"/>
      <w:marTop w:val="0"/>
      <w:marBottom w:val="0"/>
      <w:divBdr>
        <w:top w:val="none" w:sz="0" w:space="0" w:color="auto"/>
        <w:left w:val="none" w:sz="0" w:space="0" w:color="auto"/>
        <w:bottom w:val="none" w:sz="0" w:space="0" w:color="auto"/>
        <w:right w:val="none" w:sz="0" w:space="0" w:color="auto"/>
      </w:divBdr>
    </w:div>
    <w:div w:id="1673754417">
      <w:bodyDiv w:val="1"/>
      <w:marLeft w:val="0"/>
      <w:marRight w:val="0"/>
      <w:marTop w:val="0"/>
      <w:marBottom w:val="0"/>
      <w:divBdr>
        <w:top w:val="none" w:sz="0" w:space="0" w:color="auto"/>
        <w:left w:val="none" w:sz="0" w:space="0" w:color="auto"/>
        <w:bottom w:val="none" w:sz="0" w:space="0" w:color="auto"/>
        <w:right w:val="none" w:sz="0" w:space="0" w:color="auto"/>
      </w:divBdr>
    </w:div>
    <w:div w:id="1688941907">
      <w:bodyDiv w:val="1"/>
      <w:marLeft w:val="0"/>
      <w:marRight w:val="0"/>
      <w:marTop w:val="0"/>
      <w:marBottom w:val="0"/>
      <w:divBdr>
        <w:top w:val="none" w:sz="0" w:space="0" w:color="auto"/>
        <w:left w:val="none" w:sz="0" w:space="0" w:color="auto"/>
        <w:bottom w:val="none" w:sz="0" w:space="0" w:color="auto"/>
        <w:right w:val="none" w:sz="0" w:space="0" w:color="auto"/>
      </w:divBdr>
    </w:div>
    <w:div w:id="1714422365">
      <w:bodyDiv w:val="1"/>
      <w:marLeft w:val="0"/>
      <w:marRight w:val="0"/>
      <w:marTop w:val="0"/>
      <w:marBottom w:val="0"/>
      <w:divBdr>
        <w:top w:val="none" w:sz="0" w:space="0" w:color="auto"/>
        <w:left w:val="none" w:sz="0" w:space="0" w:color="auto"/>
        <w:bottom w:val="none" w:sz="0" w:space="0" w:color="auto"/>
        <w:right w:val="none" w:sz="0" w:space="0" w:color="auto"/>
      </w:divBdr>
    </w:div>
    <w:div w:id="1717118929">
      <w:bodyDiv w:val="1"/>
      <w:marLeft w:val="0"/>
      <w:marRight w:val="0"/>
      <w:marTop w:val="0"/>
      <w:marBottom w:val="0"/>
      <w:divBdr>
        <w:top w:val="none" w:sz="0" w:space="0" w:color="auto"/>
        <w:left w:val="none" w:sz="0" w:space="0" w:color="auto"/>
        <w:bottom w:val="none" w:sz="0" w:space="0" w:color="auto"/>
        <w:right w:val="none" w:sz="0" w:space="0" w:color="auto"/>
      </w:divBdr>
    </w:div>
    <w:div w:id="1738701733">
      <w:bodyDiv w:val="1"/>
      <w:marLeft w:val="0"/>
      <w:marRight w:val="0"/>
      <w:marTop w:val="0"/>
      <w:marBottom w:val="0"/>
      <w:divBdr>
        <w:top w:val="none" w:sz="0" w:space="0" w:color="auto"/>
        <w:left w:val="none" w:sz="0" w:space="0" w:color="auto"/>
        <w:bottom w:val="none" w:sz="0" w:space="0" w:color="auto"/>
        <w:right w:val="none" w:sz="0" w:space="0" w:color="auto"/>
      </w:divBdr>
    </w:div>
    <w:div w:id="1752238279">
      <w:bodyDiv w:val="1"/>
      <w:marLeft w:val="0"/>
      <w:marRight w:val="0"/>
      <w:marTop w:val="0"/>
      <w:marBottom w:val="0"/>
      <w:divBdr>
        <w:top w:val="none" w:sz="0" w:space="0" w:color="auto"/>
        <w:left w:val="none" w:sz="0" w:space="0" w:color="auto"/>
        <w:bottom w:val="none" w:sz="0" w:space="0" w:color="auto"/>
        <w:right w:val="none" w:sz="0" w:space="0" w:color="auto"/>
      </w:divBdr>
    </w:div>
    <w:div w:id="1764957422">
      <w:bodyDiv w:val="1"/>
      <w:marLeft w:val="0"/>
      <w:marRight w:val="0"/>
      <w:marTop w:val="0"/>
      <w:marBottom w:val="0"/>
      <w:divBdr>
        <w:top w:val="none" w:sz="0" w:space="0" w:color="auto"/>
        <w:left w:val="none" w:sz="0" w:space="0" w:color="auto"/>
        <w:bottom w:val="none" w:sz="0" w:space="0" w:color="auto"/>
        <w:right w:val="none" w:sz="0" w:space="0" w:color="auto"/>
      </w:divBdr>
    </w:div>
    <w:div w:id="1769159347">
      <w:bodyDiv w:val="1"/>
      <w:marLeft w:val="0"/>
      <w:marRight w:val="0"/>
      <w:marTop w:val="0"/>
      <w:marBottom w:val="0"/>
      <w:divBdr>
        <w:top w:val="none" w:sz="0" w:space="0" w:color="auto"/>
        <w:left w:val="none" w:sz="0" w:space="0" w:color="auto"/>
        <w:bottom w:val="none" w:sz="0" w:space="0" w:color="auto"/>
        <w:right w:val="none" w:sz="0" w:space="0" w:color="auto"/>
      </w:divBdr>
    </w:div>
    <w:div w:id="1829327035">
      <w:bodyDiv w:val="1"/>
      <w:marLeft w:val="0"/>
      <w:marRight w:val="0"/>
      <w:marTop w:val="0"/>
      <w:marBottom w:val="0"/>
      <w:divBdr>
        <w:top w:val="none" w:sz="0" w:space="0" w:color="auto"/>
        <w:left w:val="none" w:sz="0" w:space="0" w:color="auto"/>
        <w:bottom w:val="none" w:sz="0" w:space="0" w:color="auto"/>
        <w:right w:val="none" w:sz="0" w:space="0" w:color="auto"/>
      </w:divBdr>
    </w:div>
    <w:div w:id="1829784707">
      <w:bodyDiv w:val="1"/>
      <w:marLeft w:val="0"/>
      <w:marRight w:val="0"/>
      <w:marTop w:val="0"/>
      <w:marBottom w:val="0"/>
      <w:divBdr>
        <w:top w:val="none" w:sz="0" w:space="0" w:color="auto"/>
        <w:left w:val="none" w:sz="0" w:space="0" w:color="auto"/>
        <w:bottom w:val="none" w:sz="0" w:space="0" w:color="auto"/>
        <w:right w:val="none" w:sz="0" w:space="0" w:color="auto"/>
      </w:divBdr>
    </w:div>
    <w:div w:id="1836147487">
      <w:bodyDiv w:val="1"/>
      <w:marLeft w:val="0"/>
      <w:marRight w:val="0"/>
      <w:marTop w:val="0"/>
      <w:marBottom w:val="0"/>
      <w:divBdr>
        <w:top w:val="none" w:sz="0" w:space="0" w:color="auto"/>
        <w:left w:val="none" w:sz="0" w:space="0" w:color="auto"/>
        <w:bottom w:val="none" w:sz="0" w:space="0" w:color="auto"/>
        <w:right w:val="none" w:sz="0" w:space="0" w:color="auto"/>
      </w:divBdr>
    </w:div>
    <w:div w:id="1879317043">
      <w:bodyDiv w:val="1"/>
      <w:marLeft w:val="0"/>
      <w:marRight w:val="0"/>
      <w:marTop w:val="0"/>
      <w:marBottom w:val="0"/>
      <w:divBdr>
        <w:top w:val="none" w:sz="0" w:space="0" w:color="auto"/>
        <w:left w:val="none" w:sz="0" w:space="0" w:color="auto"/>
        <w:bottom w:val="none" w:sz="0" w:space="0" w:color="auto"/>
        <w:right w:val="none" w:sz="0" w:space="0" w:color="auto"/>
      </w:divBdr>
    </w:div>
    <w:div w:id="1891729079">
      <w:bodyDiv w:val="1"/>
      <w:marLeft w:val="0"/>
      <w:marRight w:val="0"/>
      <w:marTop w:val="0"/>
      <w:marBottom w:val="0"/>
      <w:divBdr>
        <w:top w:val="none" w:sz="0" w:space="0" w:color="auto"/>
        <w:left w:val="none" w:sz="0" w:space="0" w:color="auto"/>
        <w:bottom w:val="none" w:sz="0" w:space="0" w:color="auto"/>
        <w:right w:val="none" w:sz="0" w:space="0" w:color="auto"/>
      </w:divBdr>
    </w:div>
    <w:div w:id="189774294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28071062">
      <w:bodyDiv w:val="1"/>
      <w:marLeft w:val="0"/>
      <w:marRight w:val="0"/>
      <w:marTop w:val="0"/>
      <w:marBottom w:val="0"/>
      <w:divBdr>
        <w:top w:val="none" w:sz="0" w:space="0" w:color="auto"/>
        <w:left w:val="none" w:sz="0" w:space="0" w:color="auto"/>
        <w:bottom w:val="none" w:sz="0" w:space="0" w:color="auto"/>
        <w:right w:val="none" w:sz="0" w:space="0" w:color="auto"/>
      </w:divBdr>
    </w:div>
    <w:div w:id="1935237161">
      <w:bodyDiv w:val="1"/>
      <w:marLeft w:val="0"/>
      <w:marRight w:val="0"/>
      <w:marTop w:val="0"/>
      <w:marBottom w:val="0"/>
      <w:divBdr>
        <w:top w:val="none" w:sz="0" w:space="0" w:color="auto"/>
        <w:left w:val="none" w:sz="0" w:space="0" w:color="auto"/>
        <w:bottom w:val="none" w:sz="0" w:space="0" w:color="auto"/>
        <w:right w:val="none" w:sz="0" w:space="0" w:color="auto"/>
      </w:divBdr>
    </w:div>
    <w:div w:id="1939680563">
      <w:bodyDiv w:val="1"/>
      <w:marLeft w:val="0"/>
      <w:marRight w:val="0"/>
      <w:marTop w:val="0"/>
      <w:marBottom w:val="0"/>
      <w:divBdr>
        <w:top w:val="none" w:sz="0" w:space="0" w:color="auto"/>
        <w:left w:val="none" w:sz="0" w:space="0" w:color="auto"/>
        <w:bottom w:val="none" w:sz="0" w:space="0" w:color="auto"/>
        <w:right w:val="none" w:sz="0" w:space="0" w:color="auto"/>
      </w:divBdr>
    </w:div>
    <w:div w:id="1941986389">
      <w:bodyDiv w:val="1"/>
      <w:marLeft w:val="0"/>
      <w:marRight w:val="0"/>
      <w:marTop w:val="0"/>
      <w:marBottom w:val="0"/>
      <w:divBdr>
        <w:top w:val="none" w:sz="0" w:space="0" w:color="auto"/>
        <w:left w:val="none" w:sz="0" w:space="0" w:color="auto"/>
        <w:bottom w:val="none" w:sz="0" w:space="0" w:color="auto"/>
        <w:right w:val="none" w:sz="0" w:space="0" w:color="auto"/>
      </w:divBdr>
    </w:div>
    <w:div w:id="1950352474">
      <w:bodyDiv w:val="1"/>
      <w:marLeft w:val="0"/>
      <w:marRight w:val="0"/>
      <w:marTop w:val="0"/>
      <w:marBottom w:val="0"/>
      <w:divBdr>
        <w:top w:val="none" w:sz="0" w:space="0" w:color="auto"/>
        <w:left w:val="none" w:sz="0" w:space="0" w:color="auto"/>
        <w:bottom w:val="none" w:sz="0" w:space="0" w:color="auto"/>
        <w:right w:val="none" w:sz="0" w:space="0" w:color="auto"/>
      </w:divBdr>
    </w:div>
    <w:div w:id="1968274967">
      <w:bodyDiv w:val="1"/>
      <w:marLeft w:val="0"/>
      <w:marRight w:val="0"/>
      <w:marTop w:val="0"/>
      <w:marBottom w:val="0"/>
      <w:divBdr>
        <w:top w:val="none" w:sz="0" w:space="0" w:color="auto"/>
        <w:left w:val="none" w:sz="0" w:space="0" w:color="auto"/>
        <w:bottom w:val="none" w:sz="0" w:space="0" w:color="auto"/>
        <w:right w:val="none" w:sz="0" w:space="0" w:color="auto"/>
      </w:divBdr>
    </w:div>
    <w:div w:id="1969125613">
      <w:bodyDiv w:val="1"/>
      <w:marLeft w:val="0"/>
      <w:marRight w:val="0"/>
      <w:marTop w:val="0"/>
      <w:marBottom w:val="0"/>
      <w:divBdr>
        <w:top w:val="none" w:sz="0" w:space="0" w:color="auto"/>
        <w:left w:val="none" w:sz="0" w:space="0" w:color="auto"/>
        <w:bottom w:val="none" w:sz="0" w:space="0" w:color="auto"/>
        <w:right w:val="none" w:sz="0" w:space="0" w:color="auto"/>
      </w:divBdr>
    </w:div>
    <w:div w:id="1986547588">
      <w:bodyDiv w:val="1"/>
      <w:marLeft w:val="0"/>
      <w:marRight w:val="0"/>
      <w:marTop w:val="0"/>
      <w:marBottom w:val="0"/>
      <w:divBdr>
        <w:top w:val="none" w:sz="0" w:space="0" w:color="auto"/>
        <w:left w:val="none" w:sz="0" w:space="0" w:color="auto"/>
        <w:bottom w:val="none" w:sz="0" w:space="0" w:color="auto"/>
        <w:right w:val="none" w:sz="0" w:space="0" w:color="auto"/>
      </w:divBdr>
    </w:div>
    <w:div w:id="1989017795">
      <w:bodyDiv w:val="1"/>
      <w:marLeft w:val="0"/>
      <w:marRight w:val="0"/>
      <w:marTop w:val="0"/>
      <w:marBottom w:val="0"/>
      <w:divBdr>
        <w:top w:val="none" w:sz="0" w:space="0" w:color="auto"/>
        <w:left w:val="none" w:sz="0" w:space="0" w:color="auto"/>
        <w:bottom w:val="none" w:sz="0" w:space="0" w:color="auto"/>
        <w:right w:val="none" w:sz="0" w:space="0" w:color="auto"/>
      </w:divBdr>
    </w:div>
    <w:div w:id="2007517471">
      <w:bodyDiv w:val="1"/>
      <w:marLeft w:val="0"/>
      <w:marRight w:val="0"/>
      <w:marTop w:val="0"/>
      <w:marBottom w:val="0"/>
      <w:divBdr>
        <w:top w:val="none" w:sz="0" w:space="0" w:color="auto"/>
        <w:left w:val="none" w:sz="0" w:space="0" w:color="auto"/>
        <w:bottom w:val="none" w:sz="0" w:space="0" w:color="auto"/>
        <w:right w:val="none" w:sz="0" w:space="0" w:color="auto"/>
      </w:divBdr>
    </w:div>
    <w:div w:id="2010866117">
      <w:bodyDiv w:val="1"/>
      <w:marLeft w:val="0"/>
      <w:marRight w:val="0"/>
      <w:marTop w:val="0"/>
      <w:marBottom w:val="0"/>
      <w:divBdr>
        <w:top w:val="none" w:sz="0" w:space="0" w:color="auto"/>
        <w:left w:val="none" w:sz="0" w:space="0" w:color="auto"/>
        <w:bottom w:val="none" w:sz="0" w:space="0" w:color="auto"/>
        <w:right w:val="none" w:sz="0" w:space="0" w:color="auto"/>
      </w:divBdr>
    </w:div>
    <w:div w:id="2040810076">
      <w:bodyDiv w:val="1"/>
      <w:marLeft w:val="0"/>
      <w:marRight w:val="0"/>
      <w:marTop w:val="0"/>
      <w:marBottom w:val="0"/>
      <w:divBdr>
        <w:top w:val="none" w:sz="0" w:space="0" w:color="auto"/>
        <w:left w:val="none" w:sz="0" w:space="0" w:color="auto"/>
        <w:bottom w:val="none" w:sz="0" w:space="0" w:color="auto"/>
        <w:right w:val="none" w:sz="0" w:space="0" w:color="auto"/>
      </w:divBdr>
    </w:div>
    <w:div w:id="2110619026">
      <w:bodyDiv w:val="1"/>
      <w:marLeft w:val="0"/>
      <w:marRight w:val="0"/>
      <w:marTop w:val="0"/>
      <w:marBottom w:val="0"/>
      <w:divBdr>
        <w:top w:val="none" w:sz="0" w:space="0" w:color="auto"/>
        <w:left w:val="none" w:sz="0" w:space="0" w:color="auto"/>
        <w:bottom w:val="none" w:sz="0" w:space="0" w:color="auto"/>
        <w:right w:val="none" w:sz="0" w:space="0" w:color="auto"/>
      </w:divBdr>
    </w:div>
    <w:div w:id="2110814101">
      <w:bodyDiv w:val="1"/>
      <w:marLeft w:val="0"/>
      <w:marRight w:val="0"/>
      <w:marTop w:val="0"/>
      <w:marBottom w:val="0"/>
      <w:divBdr>
        <w:top w:val="none" w:sz="0" w:space="0" w:color="auto"/>
        <w:left w:val="none" w:sz="0" w:space="0" w:color="auto"/>
        <w:bottom w:val="none" w:sz="0" w:space="0" w:color="auto"/>
        <w:right w:val="none" w:sz="0" w:space="0" w:color="auto"/>
      </w:divBdr>
    </w:div>
    <w:div w:id="2110932304">
      <w:bodyDiv w:val="1"/>
      <w:marLeft w:val="0"/>
      <w:marRight w:val="0"/>
      <w:marTop w:val="0"/>
      <w:marBottom w:val="0"/>
      <w:divBdr>
        <w:top w:val="none" w:sz="0" w:space="0" w:color="auto"/>
        <w:left w:val="none" w:sz="0" w:space="0" w:color="auto"/>
        <w:bottom w:val="none" w:sz="0" w:space="0" w:color="auto"/>
        <w:right w:val="none" w:sz="0" w:space="0" w:color="auto"/>
      </w:divBdr>
    </w:div>
    <w:div w:id="2132164608">
      <w:bodyDiv w:val="1"/>
      <w:marLeft w:val="0"/>
      <w:marRight w:val="0"/>
      <w:marTop w:val="0"/>
      <w:marBottom w:val="0"/>
      <w:divBdr>
        <w:top w:val="none" w:sz="0" w:space="0" w:color="auto"/>
        <w:left w:val="none" w:sz="0" w:space="0" w:color="auto"/>
        <w:bottom w:val="none" w:sz="0" w:space="0" w:color="auto"/>
        <w:right w:val="none" w:sz="0" w:space="0" w:color="auto"/>
      </w:divBdr>
    </w:div>
    <w:div w:id="2135052493">
      <w:bodyDiv w:val="1"/>
      <w:marLeft w:val="0"/>
      <w:marRight w:val="0"/>
      <w:marTop w:val="0"/>
      <w:marBottom w:val="0"/>
      <w:divBdr>
        <w:top w:val="none" w:sz="0" w:space="0" w:color="auto"/>
        <w:left w:val="none" w:sz="0" w:space="0" w:color="auto"/>
        <w:bottom w:val="none" w:sz="0" w:space="0" w:color="auto"/>
        <w:right w:val="none" w:sz="0" w:space="0" w:color="auto"/>
      </w:divBdr>
    </w:div>
    <w:div w:id="2144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73F4-75E1-4EDA-939E-8B9B4845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21</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2017-07-18T04:23:00Z</dcterms:created>
  <dc:creator>admin</dc:creator>
  <lastModifiedBy>CWC-WY</lastModifiedBy>
  <lastPrinted>2017-07-18T04:23:00Z</lastPrinted>
  <dcterms:modified xsi:type="dcterms:W3CDTF">2018-07-26T04:00:00Z</dcterms:modified>
  <revision>125</revision>
</coreProperties>
</file>