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65" w:rsidRPr="00BE28B4" w:rsidRDefault="00990365" w:rsidP="00990365">
      <w:pPr>
        <w:spacing w:line="700" w:lineRule="exact"/>
        <w:rPr>
          <w:rFonts w:eastAsia="仿宋_GB2312"/>
          <w:sz w:val="28"/>
          <w:szCs w:val="28"/>
        </w:rPr>
      </w:pPr>
      <w:r w:rsidRPr="00BE28B4">
        <w:rPr>
          <w:rFonts w:eastAsia="仿宋_GB2312"/>
          <w:sz w:val="28"/>
          <w:szCs w:val="28"/>
        </w:rPr>
        <w:t>附件</w:t>
      </w:r>
      <w:r>
        <w:rPr>
          <w:rFonts w:eastAsia="仿宋_GB2312" w:hint="eastAsia"/>
          <w:sz w:val="28"/>
          <w:szCs w:val="28"/>
        </w:rPr>
        <w:t>一</w:t>
      </w:r>
      <w:r>
        <w:rPr>
          <w:rFonts w:ascii="仿宋_GB2312" w:eastAsia="仿宋_GB2312" w:hAnsi="宋体" w:cs="Arial" w:hint="eastAsia"/>
          <w:sz w:val="32"/>
          <w:szCs w:val="32"/>
          <w:lang w:val="zh-CN"/>
        </w:rPr>
        <w:t>：</w:t>
      </w:r>
    </w:p>
    <w:p w:rsidR="00990365" w:rsidRPr="00BE28B4" w:rsidRDefault="00990365" w:rsidP="00990365">
      <w:pPr>
        <w:spacing w:line="700" w:lineRule="exact"/>
        <w:rPr>
          <w:sz w:val="24"/>
        </w:rPr>
      </w:pPr>
    </w:p>
    <w:p w:rsidR="00990365" w:rsidRPr="00BE28B4" w:rsidRDefault="00990365" w:rsidP="00990365">
      <w:pPr>
        <w:spacing w:line="360" w:lineRule="auto"/>
        <w:jc w:val="center"/>
        <w:rPr>
          <w:rFonts w:eastAsia="方正大标宋简体"/>
          <w:color w:val="000000"/>
        </w:rPr>
      </w:pPr>
      <w:r w:rsidRPr="00BE28B4">
        <w:rPr>
          <w:rFonts w:eastAsia="方正大标宋简体"/>
          <w:b/>
          <w:bCs/>
          <w:color w:val="000000"/>
          <w:sz w:val="36"/>
          <w:szCs w:val="36"/>
        </w:rPr>
        <w:t>自主设置目录</w:t>
      </w:r>
      <w:r w:rsidR="002A4BD5">
        <w:rPr>
          <w:rFonts w:eastAsia="方正大标宋简体" w:hint="eastAsia"/>
          <w:b/>
          <w:bCs/>
          <w:color w:val="000000"/>
          <w:sz w:val="36"/>
          <w:szCs w:val="36"/>
        </w:rPr>
        <w:t>内</w:t>
      </w:r>
      <w:r w:rsidRPr="00BE28B4">
        <w:rPr>
          <w:rFonts w:eastAsia="方正大标宋简体"/>
          <w:b/>
          <w:bCs/>
          <w:color w:val="000000"/>
          <w:sz w:val="36"/>
          <w:szCs w:val="36"/>
        </w:rPr>
        <w:t>二级学科论证方案</w:t>
      </w:r>
    </w:p>
    <w:p w:rsidR="00990365" w:rsidRPr="00BE28B4" w:rsidRDefault="00990365" w:rsidP="00990365">
      <w:pPr>
        <w:spacing w:line="360" w:lineRule="auto"/>
        <w:jc w:val="center"/>
        <w:rPr>
          <w:rFonts w:eastAsia="方正大标宋简体"/>
          <w:color w:val="000000"/>
          <w:sz w:val="32"/>
          <w:szCs w:val="32"/>
        </w:rPr>
      </w:pPr>
      <w:r w:rsidRPr="00BE28B4">
        <w:rPr>
          <w:rFonts w:eastAsia="方正大标宋简体"/>
          <w:color w:val="000000"/>
          <w:sz w:val="32"/>
          <w:szCs w:val="32"/>
        </w:rPr>
        <w:t>【本页为论证方案首页】</w:t>
      </w:r>
    </w:p>
    <w:p w:rsidR="00990365" w:rsidRPr="00BE28B4" w:rsidRDefault="00990365" w:rsidP="00990365">
      <w:pPr>
        <w:rPr>
          <w:sz w:val="24"/>
        </w:rPr>
      </w:pPr>
    </w:p>
    <w:p w:rsidR="00990365" w:rsidRPr="00BE28B4" w:rsidRDefault="00990365" w:rsidP="00990365">
      <w:pPr>
        <w:rPr>
          <w:sz w:val="24"/>
        </w:rPr>
      </w:pPr>
    </w:p>
    <w:p w:rsidR="00990365" w:rsidRPr="00BE28B4" w:rsidRDefault="00990365" w:rsidP="00990365">
      <w:pPr>
        <w:rPr>
          <w:sz w:val="24"/>
        </w:rPr>
      </w:pPr>
    </w:p>
    <w:p w:rsidR="00990365" w:rsidRPr="00BE28B4" w:rsidRDefault="00990365" w:rsidP="00990365">
      <w:pPr>
        <w:rPr>
          <w:sz w:val="24"/>
        </w:rPr>
      </w:pPr>
    </w:p>
    <w:p w:rsidR="00990365" w:rsidRPr="00BE28B4" w:rsidRDefault="00990365" w:rsidP="00990365">
      <w:pPr>
        <w:rPr>
          <w:sz w:val="24"/>
        </w:rPr>
      </w:pPr>
    </w:p>
    <w:p w:rsidR="00990365" w:rsidRPr="00DE0B68" w:rsidRDefault="0047735E" w:rsidP="00990365">
      <w:pPr>
        <w:rPr>
          <w:rFonts w:ascii="黑体" w:eastAsia="黑体"/>
          <w:color w:val="000000"/>
          <w:sz w:val="24"/>
        </w:rPr>
      </w:pPr>
      <w:r>
        <w:rPr>
          <w:rFonts w:ascii="黑体" w:eastAsia="黑体" w:hint="eastAsia"/>
          <w:b/>
          <w:bCs/>
          <w:color w:val="000000"/>
          <w:sz w:val="24"/>
        </w:rPr>
        <w:t>所属学院</w:t>
      </w:r>
      <w:r w:rsidR="00990365" w:rsidRPr="00DE0B68">
        <w:rPr>
          <w:rFonts w:ascii="黑体" w:eastAsia="黑体" w:hint="eastAsia"/>
          <w:b/>
          <w:bCs/>
          <w:color w:val="000000"/>
          <w:sz w:val="24"/>
        </w:rPr>
        <w:t>：</w:t>
      </w:r>
      <w:r w:rsidR="00E4460C">
        <w:rPr>
          <w:rFonts w:ascii="黑体" w:eastAsia="黑体" w:hint="eastAsia"/>
          <w:b/>
          <w:bCs/>
          <w:color w:val="000000"/>
          <w:sz w:val="24"/>
        </w:rPr>
        <w:t>商学院</w:t>
      </w: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6"/>
        <w:gridCol w:w="2803"/>
        <w:gridCol w:w="1758"/>
        <w:gridCol w:w="2099"/>
      </w:tblGrid>
      <w:tr w:rsidR="00990365" w:rsidRPr="00990365" w:rsidTr="002A4BD5">
        <w:trPr>
          <w:trHeight w:val="928"/>
          <w:jc w:val="center"/>
        </w:trPr>
        <w:tc>
          <w:tcPr>
            <w:tcW w:w="1856" w:type="dxa"/>
            <w:tcBorders>
              <w:bottom w:val="single" w:sz="4" w:space="0" w:color="auto"/>
              <w:right w:val="single" w:sz="4" w:space="0" w:color="auto"/>
            </w:tcBorders>
            <w:vAlign w:val="center"/>
          </w:tcPr>
          <w:p w:rsidR="00990365" w:rsidRPr="00990365" w:rsidRDefault="00990365" w:rsidP="00990365">
            <w:pPr>
              <w:jc w:val="center"/>
              <w:rPr>
                <w:rFonts w:eastAsia="仿宋_GB2312"/>
                <w:bCs/>
                <w:color w:val="000000"/>
                <w:kern w:val="0"/>
                <w:sz w:val="24"/>
              </w:rPr>
            </w:pPr>
            <w:r w:rsidRPr="00990365">
              <w:rPr>
                <w:rFonts w:eastAsia="仿宋_GB2312" w:hint="eastAsia"/>
                <w:bCs/>
                <w:color w:val="000000"/>
                <w:kern w:val="0"/>
                <w:sz w:val="24"/>
              </w:rPr>
              <w:t>二级</w:t>
            </w:r>
            <w:r w:rsidRPr="00990365">
              <w:rPr>
                <w:rFonts w:eastAsia="仿宋_GB2312"/>
                <w:bCs/>
                <w:color w:val="000000"/>
                <w:kern w:val="0"/>
                <w:sz w:val="24"/>
              </w:rPr>
              <w:t>学科名称</w:t>
            </w:r>
          </w:p>
        </w:tc>
        <w:tc>
          <w:tcPr>
            <w:tcW w:w="2803" w:type="dxa"/>
            <w:tcBorders>
              <w:left w:val="single" w:sz="4" w:space="0" w:color="auto"/>
              <w:bottom w:val="single" w:sz="4" w:space="0" w:color="auto"/>
              <w:right w:val="single" w:sz="6" w:space="0" w:color="auto"/>
            </w:tcBorders>
            <w:vAlign w:val="center"/>
          </w:tcPr>
          <w:p w:rsidR="00990365" w:rsidRPr="00990365" w:rsidRDefault="005D59F1" w:rsidP="00990365">
            <w:pPr>
              <w:jc w:val="center"/>
              <w:rPr>
                <w:rFonts w:eastAsia="仿宋_GB2312"/>
                <w:bCs/>
                <w:color w:val="000000"/>
                <w:kern w:val="0"/>
                <w:sz w:val="24"/>
              </w:rPr>
            </w:pPr>
            <w:r>
              <w:rPr>
                <w:rFonts w:eastAsia="仿宋_GB2312" w:hint="eastAsia"/>
                <w:bCs/>
                <w:color w:val="000000"/>
                <w:kern w:val="0"/>
                <w:sz w:val="24"/>
              </w:rPr>
              <w:t>财政学</w:t>
            </w:r>
          </w:p>
        </w:tc>
        <w:tc>
          <w:tcPr>
            <w:tcW w:w="1758" w:type="dxa"/>
            <w:tcBorders>
              <w:left w:val="single" w:sz="6" w:space="0" w:color="auto"/>
              <w:bottom w:val="single" w:sz="4" w:space="0" w:color="auto"/>
            </w:tcBorders>
            <w:vAlign w:val="center"/>
          </w:tcPr>
          <w:p w:rsidR="00990365" w:rsidRPr="00990365" w:rsidRDefault="00990365" w:rsidP="00990365">
            <w:pPr>
              <w:jc w:val="center"/>
              <w:rPr>
                <w:rFonts w:eastAsia="仿宋_GB2312"/>
                <w:bCs/>
                <w:color w:val="000000"/>
                <w:kern w:val="0"/>
                <w:sz w:val="24"/>
              </w:rPr>
            </w:pPr>
            <w:r w:rsidRPr="00990365">
              <w:rPr>
                <w:rFonts w:eastAsia="仿宋_GB2312" w:hint="eastAsia"/>
                <w:bCs/>
                <w:color w:val="000000"/>
                <w:kern w:val="0"/>
                <w:sz w:val="24"/>
              </w:rPr>
              <w:t>二级</w:t>
            </w:r>
            <w:r w:rsidRPr="00990365">
              <w:rPr>
                <w:rFonts w:eastAsia="仿宋_GB2312"/>
                <w:bCs/>
                <w:color w:val="000000"/>
                <w:kern w:val="0"/>
                <w:sz w:val="24"/>
              </w:rPr>
              <w:t>学科代码</w:t>
            </w:r>
          </w:p>
        </w:tc>
        <w:tc>
          <w:tcPr>
            <w:tcW w:w="2099" w:type="dxa"/>
            <w:tcBorders>
              <w:bottom w:val="single" w:sz="4" w:space="0" w:color="auto"/>
            </w:tcBorders>
            <w:vAlign w:val="center"/>
          </w:tcPr>
          <w:p w:rsidR="00990365" w:rsidRPr="00990365" w:rsidRDefault="005D59F1" w:rsidP="00990365">
            <w:pPr>
              <w:jc w:val="center"/>
              <w:rPr>
                <w:rFonts w:eastAsia="仿宋_GB2312"/>
                <w:bCs/>
                <w:color w:val="000000"/>
                <w:kern w:val="0"/>
                <w:sz w:val="24"/>
              </w:rPr>
            </w:pPr>
            <w:r>
              <w:rPr>
                <w:rFonts w:eastAsia="仿宋_GB2312" w:hint="eastAsia"/>
                <w:bCs/>
                <w:color w:val="000000"/>
                <w:kern w:val="0"/>
                <w:sz w:val="24"/>
              </w:rPr>
              <w:t>020203</w:t>
            </w:r>
          </w:p>
        </w:tc>
      </w:tr>
      <w:tr w:rsidR="00990365" w:rsidRPr="00990365" w:rsidTr="002A4BD5">
        <w:trPr>
          <w:trHeight w:val="928"/>
          <w:jc w:val="center"/>
        </w:trPr>
        <w:tc>
          <w:tcPr>
            <w:tcW w:w="8516" w:type="dxa"/>
            <w:gridSpan w:val="4"/>
            <w:tcBorders>
              <w:bottom w:val="single" w:sz="4" w:space="0" w:color="auto"/>
            </w:tcBorders>
            <w:vAlign w:val="center"/>
          </w:tcPr>
          <w:p w:rsidR="00990365" w:rsidRPr="00990365" w:rsidRDefault="00990365" w:rsidP="00990365">
            <w:pPr>
              <w:jc w:val="center"/>
              <w:rPr>
                <w:rFonts w:eastAsia="仿宋_GB2312"/>
                <w:color w:val="000000"/>
                <w:kern w:val="0"/>
                <w:sz w:val="24"/>
              </w:rPr>
            </w:pPr>
            <w:r w:rsidRPr="00990365">
              <w:rPr>
                <w:rFonts w:eastAsia="仿宋_GB2312"/>
                <w:bCs/>
                <w:color w:val="000000"/>
                <w:kern w:val="0"/>
                <w:sz w:val="24"/>
              </w:rPr>
              <w:t>所属一级学科</w:t>
            </w:r>
          </w:p>
        </w:tc>
      </w:tr>
      <w:tr w:rsidR="00990365" w:rsidRPr="00990365" w:rsidTr="002A4BD5">
        <w:trPr>
          <w:trHeight w:val="916"/>
          <w:jc w:val="center"/>
        </w:trPr>
        <w:tc>
          <w:tcPr>
            <w:tcW w:w="1856" w:type="dxa"/>
            <w:tcBorders>
              <w:bottom w:val="single" w:sz="6" w:space="0" w:color="auto"/>
              <w:right w:val="single" w:sz="6" w:space="0" w:color="auto"/>
            </w:tcBorders>
            <w:vAlign w:val="center"/>
          </w:tcPr>
          <w:p w:rsidR="00990365" w:rsidRPr="00990365" w:rsidRDefault="00990365" w:rsidP="00990365">
            <w:pPr>
              <w:spacing w:line="360" w:lineRule="exact"/>
              <w:jc w:val="center"/>
              <w:rPr>
                <w:rFonts w:eastAsia="仿宋_GB2312"/>
                <w:color w:val="000000"/>
                <w:kern w:val="0"/>
                <w:sz w:val="24"/>
              </w:rPr>
            </w:pPr>
            <w:r w:rsidRPr="00990365">
              <w:rPr>
                <w:rFonts w:eastAsia="仿宋_GB2312"/>
                <w:color w:val="000000"/>
                <w:kern w:val="0"/>
                <w:sz w:val="24"/>
              </w:rPr>
              <w:t>代</w:t>
            </w:r>
            <w:r w:rsidRPr="00990365">
              <w:rPr>
                <w:rFonts w:eastAsia="仿宋_GB2312"/>
                <w:color w:val="000000"/>
                <w:kern w:val="0"/>
                <w:sz w:val="24"/>
              </w:rPr>
              <w:t xml:space="preserve">  </w:t>
            </w:r>
            <w:r w:rsidRPr="00990365">
              <w:rPr>
                <w:rFonts w:eastAsia="仿宋_GB2312"/>
                <w:color w:val="000000"/>
                <w:kern w:val="0"/>
                <w:sz w:val="24"/>
              </w:rPr>
              <w:t>码</w:t>
            </w:r>
          </w:p>
        </w:tc>
        <w:tc>
          <w:tcPr>
            <w:tcW w:w="2803" w:type="dxa"/>
            <w:tcBorders>
              <w:left w:val="single" w:sz="6" w:space="0" w:color="auto"/>
              <w:bottom w:val="single" w:sz="6" w:space="0" w:color="auto"/>
              <w:right w:val="single" w:sz="6" w:space="0" w:color="auto"/>
            </w:tcBorders>
            <w:vAlign w:val="center"/>
          </w:tcPr>
          <w:p w:rsidR="00990365" w:rsidRPr="00990365" w:rsidRDefault="00990365" w:rsidP="00990365">
            <w:pPr>
              <w:spacing w:line="400" w:lineRule="exact"/>
              <w:jc w:val="center"/>
              <w:rPr>
                <w:rFonts w:eastAsia="仿宋_GB2312"/>
                <w:color w:val="000000"/>
                <w:kern w:val="0"/>
                <w:sz w:val="24"/>
              </w:rPr>
            </w:pPr>
            <w:r w:rsidRPr="00990365">
              <w:rPr>
                <w:rFonts w:eastAsia="仿宋_GB2312"/>
                <w:bCs/>
                <w:color w:val="000000"/>
                <w:kern w:val="0"/>
                <w:sz w:val="24"/>
              </w:rPr>
              <w:t>名</w:t>
            </w:r>
            <w:r w:rsidRPr="00990365">
              <w:rPr>
                <w:rFonts w:eastAsia="仿宋_GB2312"/>
                <w:bCs/>
                <w:color w:val="000000"/>
                <w:kern w:val="0"/>
                <w:sz w:val="24"/>
              </w:rPr>
              <w:t xml:space="preserve">  </w:t>
            </w:r>
            <w:r w:rsidRPr="00990365">
              <w:rPr>
                <w:rFonts w:eastAsia="仿宋_GB2312"/>
                <w:bCs/>
                <w:color w:val="000000"/>
                <w:kern w:val="0"/>
                <w:sz w:val="24"/>
              </w:rPr>
              <w:t>称</w:t>
            </w:r>
          </w:p>
        </w:tc>
        <w:tc>
          <w:tcPr>
            <w:tcW w:w="3857" w:type="dxa"/>
            <w:gridSpan w:val="2"/>
            <w:tcBorders>
              <w:left w:val="single" w:sz="6" w:space="0" w:color="auto"/>
              <w:bottom w:val="single" w:sz="6" w:space="0" w:color="auto"/>
            </w:tcBorders>
            <w:vAlign w:val="center"/>
          </w:tcPr>
          <w:p w:rsidR="00990365" w:rsidRPr="00990365" w:rsidRDefault="00990365" w:rsidP="00990365">
            <w:pPr>
              <w:spacing w:line="400" w:lineRule="exact"/>
              <w:jc w:val="center"/>
              <w:rPr>
                <w:rFonts w:eastAsia="仿宋_GB2312"/>
                <w:color w:val="000000"/>
                <w:kern w:val="0"/>
                <w:sz w:val="24"/>
                <w:u w:val="single"/>
              </w:rPr>
            </w:pPr>
            <w:r w:rsidRPr="00990365">
              <w:rPr>
                <w:rFonts w:eastAsia="仿宋_GB2312"/>
                <w:color w:val="000000"/>
                <w:kern w:val="0"/>
                <w:sz w:val="24"/>
              </w:rPr>
              <w:t>学位授权级别</w:t>
            </w:r>
          </w:p>
        </w:tc>
      </w:tr>
      <w:tr w:rsidR="00990365" w:rsidRPr="00990365" w:rsidTr="002A4BD5">
        <w:trPr>
          <w:trHeight w:val="916"/>
          <w:jc w:val="center"/>
        </w:trPr>
        <w:tc>
          <w:tcPr>
            <w:tcW w:w="1856" w:type="dxa"/>
            <w:tcBorders>
              <w:top w:val="single" w:sz="6" w:space="0" w:color="auto"/>
              <w:bottom w:val="single" w:sz="4" w:space="0" w:color="auto"/>
              <w:right w:val="single" w:sz="6" w:space="0" w:color="auto"/>
            </w:tcBorders>
            <w:vAlign w:val="center"/>
          </w:tcPr>
          <w:p w:rsidR="00990365" w:rsidRPr="00990365" w:rsidRDefault="005D59F1" w:rsidP="00944DEE">
            <w:pPr>
              <w:spacing w:line="360" w:lineRule="exact"/>
              <w:jc w:val="center"/>
              <w:rPr>
                <w:rFonts w:eastAsia="仿宋_GB2312"/>
                <w:bCs/>
                <w:color w:val="000000"/>
                <w:kern w:val="0"/>
                <w:sz w:val="24"/>
              </w:rPr>
            </w:pPr>
            <w:r>
              <w:rPr>
                <w:rFonts w:eastAsia="仿宋_GB2312" w:hint="eastAsia"/>
                <w:bCs/>
                <w:color w:val="000000"/>
                <w:kern w:val="0"/>
                <w:sz w:val="24"/>
              </w:rPr>
              <w:t>0202</w:t>
            </w:r>
          </w:p>
        </w:tc>
        <w:tc>
          <w:tcPr>
            <w:tcW w:w="2803" w:type="dxa"/>
            <w:tcBorders>
              <w:top w:val="single" w:sz="6" w:space="0" w:color="auto"/>
              <w:left w:val="single" w:sz="6" w:space="0" w:color="auto"/>
              <w:bottom w:val="single" w:sz="4" w:space="0" w:color="auto"/>
              <w:right w:val="single" w:sz="6" w:space="0" w:color="auto"/>
            </w:tcBorders>
            <w:vAlign w:val="center"/>
          </w:tcPr>
          <w:p w:rsidR="00990365" w:rsidRPr="00990365" w:rsidRDefault="00E641C3" w:rsidP="001342D0">
            <w:pPr>
              <w:spacing w:line="400" w:lineRule="exact"/>
              <w:jc w:val="center"/>
              <w:rPr>
                <w:rFonts w:eastAsia="仿宋_GB2312"/>
                <w:color w:val="000000"/>
                <w:kern w:val="0"/>
                <w:sz w:val="24"/>
              </w:rPr>
            </w:pPr>
            <w:r>
              <w:rPr>
                <w:rFonts w:eastAsia="仿宋_GB2312" w:hint="eastAsia"/>
                <w:color w:val="000000"/>
                <w:kern w:val="0"/>
                <w:sz w:val="24"/>
              </w:rPr>
              <w:t>应用</w:t>
            </w:r>
            <w:r w:rsidR="005D59F1">
              <w:rPr>
                <w:rFonts w:eastAsia="仿宋_GB2312" w:hint="eastAsia"/>
                <w:color w:val="000000"/>
                <w:kern w:val="0"/>
                <w:sz w:val="24"/>
              </w:rPr>
              <w:t>经济学</w:t>
            </w:r>
          </w:p>
        </w:tc>
        <w:tc>
          <w:tcPr>
            <w:tcW w:w="3857" w:type="dxa"/>
            <w:gridSpan w:val="2"/>
            <w:tcBorders>
              <w:top w:val="single" w:sz="6" w:space="0" w:color="auto"/>
              <w:left w:val="single" w:sz="6" w:space="0" w:color="auto"/>
              <w:bottom w:val="single" w:sz="4" w:space="0" w:color="auto"/>
            </w:tcBorders>
            <w:vAlign w:val="center"/>
          </w:tcPr>
          <w:p w:rsidR="00990365" w:rsidRPr="00990365" w:rsidRDefault="00990365" w:rsidP="00E031F5">
            <w:pPr>
              <w:spacing w:line="400" w:lineRule="exact"/>
              <w:jc w:val="center"/>
              <w:rPr>
                <w:rFonts w:eastAsia="仿宋_GB2312"/>
                <w:color w:val="000000"/>
                <w:kern w:val="0"/>
                <w:sz w:val="24"/>
                <w:u w:val="single"/>
              </w:rPr>
            </w:pPr>
            <w:r w:rsidRPr="00990365">
              <w:rPr>
                <w:rFonts w:eastAsia="仿宋_GB2312"/>
                <w:color w:val="000000"/>
                <w:kern w:val="0"/>
                <w:sz w:val="24"/>
              </w:rPr>
              <w:t>博士</w:t>
            </w:r>
            <w:r w:rsidRPr="00990365">
              <w:rPr>
                <w:rFonts w:eastAsia="仿宋_GB2312"/>
                <w:color w:val="000000"/>
                <w:kern w:val="0"/>
                <w:sz w:val="24"/>
              </w:rPr>
              <w:t xml:space="preserve">  </w:t>
            </w:r>
            <w:r w:rsidRPr="00990365">
              <w:rPr>
                <w:rFonts w:eastAsia="仿宋_GB2312"/>
                <w:bCs/>
                <w:color w:val="000000"/>
                <w:kern w:val="0"/>
                <w:sz w:val="24"/>
              </w:rPr>
              <w:t xml:space="preserve">□       </w:t>
            </w:r>
            <w:r w:rsidRPr="00990365">
              <w:rPr>
                <w:rFonts w:eastAsia="仿宋_GB2312"/>
                <w:color w:val="000000"/>
                <w:kern w:val="0"/>
                <w:sz w:val="24"/>
              </w:rPr>
              <w:t>硕士</w:t>
            </w:r>
            <w:r w:rsidRPr="00990365">
              <w:rPr>
                <w:rFonts w:eastAsia="仿宋_GB2312"/>
                <w:color w:val="000000"/>
                <w:kern w:val="0"/>
                <w:sz w:val="24"/>
              </w:rPr>
              <w:t xml:space="preserve"> </w:t>
            </w:r>
            <w:r w:rsidR="00E031F5">
              <w:rPr>
                <w:rFonts w:ascii="仿宋_GB2312" w:eastAsia="仿宋_GB2312" w:hint="eastAsia"/>
                <w:color w:val="000000"/>
                <w:kern w:val="0"/>
                <w:sz w:val="24"/>
              </w:rPr>
              <w:t>√</w:t>
            </w:r>
          </w:p>
        </w:tc>
      </w:tr>
    </w:tbl>
    <w:p w:rsidR="00990365" w:rsidRPr="00BE28B4" w:rsidRDefault="00990365" w:rsidP="00990365">
      <w:pPr>
        <w:rPr>
          <w:color w:val="000000"/>
          <w:sz w:val="18"/>
          <w:szCs w:val="18"/>
        </w:rPr>
      </w:pPr>
      <w:r w:rsidRPr="00BE28B4">
        <w:rPr>
          <w:rFonts w:hAnsi="宋体"/>
          <w:color w:val="000000"/>
          <w:sz w:val="18"/>
          <w:szCs w:val="18"/>
        </w:rPr>
        <w:t>注：</w:t>
      </w:r>
      <w:r w:rsidRPr="00BE28B4">
        <w:rPr>
          <w:color w:val="000000"/>
          <w:sz w:val="18"/>
          <w:szCs w:val="18"/>
        </w:rPr>
        <w:t>1</w:t>
      </w:r>
      <w:r w:rsidRPr="00BE28B4">
        <w:rPr>
          <w:sz w:val="18"/>
          <w:szCs w:val="18"/>
        </w:rPr>
        <w:t>.</w:t>
      </w:r>
      <w:r w:rsidRPr="00BE28B4">
        <w:rPr>
          <w:rFonts w:hAnsi="宋体"/>
          <w:color w:val="000000"/>
          <w:sz w:val="18"/>
          <w:szCs w:val="18"/>
        </w:rPr>
        <w:t>请填写相关项目，并在相应的</w:t>
      </w:r>
      <w:r w:rsidRPr="00BE28B4">
        <w:rPr>
          <w:color w:val="000000"/>
          <w:sz w:val="18"/>
          <w:szCs w:val="18"/>
        </w:rPr>
        <w:t>“</w:t>
      </w:r>
      <w:r w:rsidRPr="00BE28B4">
        <w:rPr>
          <w:bCs/>
          <w:color w:val="000000"/>
          <w:sz w:val="18"/>
          <w:szCs w:val="18"/>
        </w:rPr>
        <w:t>□</w:t>
      </w:r>
      <w:r w:rsidRPr="00BE28B4">
        <w:rPr>
          <w:color w:val="000000"/>
          <w:sz w:val="18"/>
          <w:szCs w:val="18"/>
        </w:rPr>
        <w:t>”</w:t>
      </w:r>
      <w:r w:rsidRPr="00BE28B4">
        <w:rPr>
          <w:rFonts w:hAnsi="宋体"/>
          <w:color w:val="000000"/>
          <w:sz w:val="18"/>
          <w:szCs w:val="18"/>
        </w:rPr>
        <w:t>划</w:t>
      </w:r>
      <w:r w:rsidRPr="00BE28B4">
        <w:rPr>
          <w:color w:val="000000"/>
          <w:sz w:val="18"/>
          <w:szCs w:val="18"/>
        </w:rPr>
        <w:t>“√”</w:t>
      </w:r>
      <w:r w:rsidRPr="00BE28B4">
        <w:rPr>
          <w:rFonts w:hAnsi="宋体"/>
          <w:color w:val="000000"/>
          <w:sz w:val="18"/>
          <w:szCs w:val="18"/>
        </w:rPr>
        <w:t>；</w:t>
      </w:r>
    </w:p>
    <w:p w:rsidR="00990365" w:rsidRPr="002A4BD5" w:rsidRDefault="00990365" w:rsidP="002A4BD5">
      <w:pPr>
        <w:ind w:firstLineChars="200" w:firstLine="360"/>
        <w:rPr>
          <w:rFonts w:hAnsi="宋体"/>
          <w:bCs/>
          <w:color w:val="000000"/>
          <w:sz w:val="18"/>
          <w:szCs w:val="18"/>
        </w:rPr>
      </w:pPr>
      <w:r w:rsidRPr="00BE28B4">
        <w:rPr>
          <w:color w:val="000000"/>
          <w:sz w:val="18"/>
          <w:szCs w:val="18"/>
        </w:rPr>
        <w:t>2</w:t>
      </w:r>
      <w:r w:rsidRPr="00BE28B4">
        <w:rPr>
          <w:sz w:val="18"/>
          <w:szCs w:val="18"/>
        </w:rPr>
        <w:t>.</w:t>
      </w:r>
      <w:r w:rsidRPr="00BE28B4">
        <w:rPr>
          <w:rFonts w:hAnsi="宋体"/>
          <w:bCs/>
          <w:color w:val="000000"/>
          <w:sz w:val="18"/>
          <w:szCs w:val="18"/>
        </w:rPr>
        <w:t>本方案将</w:t>
      </w:r>
      <w:r w:rsidR="002A4BD5">
        <w:rPr>
          <w:rFonts w:hAnsi="宋体" w:hint="eastAsia"/>
          <w:bCs/>
          <w:color w:val="000000"/>
          <w:sz w:val="18"/>
          <w:szCs w:val="18"/>
        </w:rPr>
        <w:t>由校学位委员会进行审核。</w:t>
      </w:r>
    </w:p>
    <w:p w:rsidR="00990365" w:rsidRPr="00BE28B4" w:rsidRDefault="00990365" w:rsidP="00990365">
      <w:pPr>
        <w:ind w:firstLine="570"/>
        <w:rPr>
          <w:rFonts w:eastAsia="仿宋_GB2312"/>
          <w:color w:val="000000"/>
          <w:sz w:val="24"/>
        </w:rPr>
      </w:pPr>
    </w:p>
    <w:p w:rsidR="00990365" w:rsidRDefault="00990365" w:rsidP="00990365">
      <w:pPr>
        <w:ind w:firstLine="570"/>
        <w:rPr>
          <w:rFonts w:eastAsia="仿宋_GB2312"/>
          <w:color w:val="000000"/>
          <w:sz w:val="24"/>
        </w:rPr>
      </w:pPr>
    </w:p>
    <w:p w:rsidR="002A4BD5" w:rsidRPr="00BE28B4" w:rsidRDefault="002A4BD5" w:rsidP="00990365">
      <w:pPr>
        <w:ind w:firstLine="570"/>
        <w:rPr>
          <w:rFonts w:eastAsia="仿宋_GB2312"/>
          <w:color w:val="000000"/>
          <w:sz w:val="24"/>
        </w:rPr>
      </w:pPr>
    </w:p>
    <w:p w:rsidR="00990365" w:rsidRPr="00BE28B4" w:rsidRDefault="00990365" w:rsidP="00990365">
      <w:pPr>
        <w:rPr>
          <w:rFonts w:eastAsia="仿宋_GB2312"/>
          <w:color w:val="000000"/>
          <w:sz w:val="24"/>
        </w:rPr>
      </w:pPr>
      <w:r w:rsidRPr="00BE28B4">
        <w:rPr>
          <w:rFonts w:eastAsia="仿宋_GB2312"/>
          <w:color w:val="000000"/>
          <w:sz w:val="24"/>
        </w:rPr>
        <w:t xml:space="preserve">                                            </w:t>
      </w:r>
      <w:r w:rsidR="00944DEE">
        <w:rPr>
          <w:rFonts w:eastAsia="仿宋_GB2312" w:hint="eastAsia"/>
          <w:color w:val="000000"/>
          <w:sz w:val="24"/>
        </w:rPr>
        <w:t>2014</w:t>
      </w:r>
      <w:r w:rsidRPr="00BE28B4">
        <w:rPr>
          <w:rFonts w:eastAsia="仿宋_GB2312"/>
          <w:color w:val="000000"/>
          <w:sz w:val="24"/>
        </w:rPr>
        <w:t>年</w:t>
      </w:r>
      <w:r w:rsidR="00944DEE">
        <w:rPr>
          <w:rFonts w:eastAsia="仿宋_GB2312" w:hint="eastAsia"/>
          <w:color w:val="000000"/>
          <w:sz w:val="24"/>
        </w:rPr>
        <w:t>9</w:t>
      </w:r>
      <w:r w:rsidRPr="00BE28B4">
        <w:rPr>
          <w:rFonts w:eastAsia="仿宋_GB2312"/>
          <w:color w:val="000000"/>
          <w:sz w:val="24"/>
        </w:rPr>
        <w:t>月</w:t>
      </w:r>
      <w:r w:rsidR="00944DEE">
        <w:rPr>
          <w:rFonts w:eastAsia="仿宋_GB2312" w:hint="eastAsia"/>
          <w:color w:val="000000"/>
          <w:sz w:val="24"/>
        </w:rPr>
        <w:t>22</w:t>
      </w:r>
      <w:r w:rsidRPr="00BE28B4">
        <w:rPr>
          <w:rFonts w:eastAsia="仿宋_GB2312"/>
          <w:color w:val="000000"/>
          <w:sz w:val="24"/>
        </w:rPr>
        <w:t>日</w:t>
      </w:r>
    </w:p>
    <w:p w:rsidR="00990365" w:rsidRPr="00BE28B4" w:rsidRDefault="00990365" w:rsidP="008D74AA">
      <w:pPr>
        <w:spacing w:line="480" w:lineRule="exact"/>
        <w:ind w:firstLineChars="200" w:firstLine="640"/>
        <w:rPr>
          <w:rFonts w:eastAsia="仿宋_GB2312"/>
          <w:b/>
          <w:bCs/>
          <w:color w:val="000000"/>
          <w:sz w:val="30"/>
          <w:szCs w:val="30"/>
        </w:rPr>
      </w:pPr>
      <w:r w:rsidRPr="00BE28B4">
        <w:rPr>
          <w:color w:val="000000"/>
          <w:sz w:val="32"/>
          <w:szCs w:val="32"/>
        </w:rPr>
        <w:br w:type="page"/>
      </w:r>
      <w:r w:rsidRPr="00BE28B4">
        <w:rPr>
          <w:rFonts w:eastAsia="仿宋_GB2312"/>
          <w:b/>
          <w:bCs/>
          <w:color w:val="000000"/>
          <w:sz w:val="30"/>
          <w:szCs w:val="30"/>
        </w:rPr>
        <w:lastRenderedPageBreak/>
        <w:t>一、该学科基本概况</w:t>
      </w:r>
    </w:p>
    <w:p w:rsidR="00990365" w:rsidRPr="00E4460C" w:rsidRDefault="00990365"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hint="eastAsia"/>
          <w:color w:val="000000"/>
          <w:sz w:val="28"/>
          <w:szCs w:val="28"/>
        </w:rPr>
        <w:t>（一）学科</w:t>
      </w:r>
      <w:r w:rsidR="002A4BD5" w:rsidRPr="00E4460C">
        <w:rPr>
          <w:rFonts w:ascii="仿宋_GB2312" w:eastAsia="仿宋_GB2312" w:hint="eastAsia"/>
          <w:color w:val="000000"/>
          <w:sz w:val="28"/>
          <w:szCs w:val="28"/>
        </w:rPr>
        <w:t>特色</w:t>
      </w:r>
    </w:p>
    <w:p w:rsidR="00880DB4" w:rsidRPr="00E4460C" w:rsidRDefault="00880DB4"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财政学作为经济学学科的一个分支，</w:t>
      </w:r>
      <w:r w:rsidR="00E641C3" w:rsidRPr="00E4460C">
        <w:rPr>
          <w:rFonts w:ascii="仿宋_GB2312" w:eastAsia="仿宋_GB2312" w:cs="AdobeHeitiStd-Regular" w:hint="eastAsia"/>
          <w:color w:val="181818"/>
          <w:sz w:val="28"/>
          <w:szCs w:val="28"/>
        </w:rPr>
        <w:t>主要研究以政府为主体的收支活动及其对其他经济主体的影响</w:t>
      </w:r>
      <w:r w:rsidR="00F257C7" w:rsidRPr="00E4460C">
        <w:rPr>
          <w:rFonts w:ascii="仿宋_GB2312" w:eastAsia="仿宋_GB2312" w:cs="AdobeHeitiStd-Regular" w:hint="eastAsia"/>
          <w:color w:val="181818"/>
          <w:sz w:val="28"/>
          <w:szCs w:val="28"/>
        </w:rPr>
        <w:t>，诸如税收，政府投资，国有资产管理，公债，预算及其管理体制以及财政宏观调控政策等</w:t>
      </w:r>
      <w:r w:rsidR="00E641C3" w:rsidRPr="00E4460C">
        <w:rPr>
          <w:rFonts w:ascii="仿宋_GB2312" w:eastAsia="仿宋_GB2312" w:cs="AdobeHeitiStd-Regular" w:hint="eastAsia"/>
          <w:color w:val="181818"/>
          <w:sz w:val="28"/>
          <w:szCs w:val="28"/>
        </w:rPr>
        <w:t>。</w:t>
      </w:r>
      <w:r w:rsidRPr="00E4460C">
        <w:rPr>
          <w:rFonts w:ascii="仿宋_GB2312" w:eastAsia="仿宋_GB2312" w:cs="AdobeHeitiStd-Regular" w:hint="eastAsia"/>
          <w:color w:val="181818"/>
          <w:sz w:val="28"/>
          <w:szCs w:val="28"/>
        </w:rPr>
        <w:t>其学科发展和研究内容经历了从传统到现代的转变</w:t>
      </w:r>
      <w:r w:rsidRPr="00E4460C">
        <w:rPr>
          <w:rFonts w:ascii="仿宋_GB2312" w:eastAsia="仿宋_GB2312" w:cs="SSJ0+ZDYIcH-2" w:hint="eastAsia"/>
          <w:color w:val="181818"/>
          <w:sz w:val="28"/>
          <w:szCs w:val="28"/>
        </w:rPr>
        <w:t>。目前财政学的</w:t>
      </w:r>
      <w:r w:rsidRPr="00E4460C">
        <w:rPr>
          <w:rFonts w:ascii="仿宋_GB2312" w:eastAsia="仿宋_GB2312" w:cs="AdobeHeitiStd-Regular" w:hint="eastAsia"/>
          <w:color w:val="181818"/>
          <w:sz w:val="28"/>
          <w:szCs w:val="28"/>
        </w:rPr>
        <w:t>研究对象已从</w:t>
      </w:r>
      <w:r w:rsidR="00380084" w:rsidRPr="00E4460C">
        <w:rPr>
          <w:rFonts w:ascii="仿宋_GB2312" w:eastAsia="仿宋_GB2312" w:cs="AdobeHeitiStd-Regular" w:hint="eastAsia"/>
          <w:color w:val="181818"/>
          <w:sz w:val="28"/>
          <w:szCs w:val="28"/>
        </w:rPr>
        <w:t>单纯研究</w:t>
      </w:r>
      <w:r w:rsidRPr="00E4460C">
        <w:rPr>
          <w:rFonts w:ascii="仿宋_GB2312" w:eastAsia="仿宋_GB2312" w:cs="AdobeHeitiStd-Regular" w:hint="eastAsia"/>
          <w:color w:val="181818"/>
          <w:sz w:val="28"/>
          <w:szCs w:val="28"/>
        </w:rPr>
        <w:t>宏观主体政府扩展到微观主体个人，研究内容大大扩展</w:t>
      </w:r>
      <w:r w:rsidR="00380084" w:rsidRPr="00E4460C">
        <w:rPr>
          <w:rFonts w:ascii="仿宋_GB2312" w:eastAsia="仿宋_GB2312" w:cs="AdobeHeitiStd-Regular" w:hint="eastAsia"/>
          <w:color w:val="181818"/>
          <w:sz w:val="28"/>
          <w:szCs w:val="28"/>
        </w:rPr>
        <w:t>和深化，</w:t>
      </w:r>
      <w:r w:rsidRPr="00E4460C">
        <w:rPr>
          <w:rFonts w:ascii="仿宋_GB2312" w:eastAsia="仿宋_GB2312" w:cs="AdobeHeitiStd-Regular" w:hint="eastAsia"/>
          <w:color w:val="181818"/>
          <w:sz w:val="28"/>
          <w:szCs w:val="28"/>
        </w:rPr>
        <w:t>研究</w:t>
      </w:r>
      <w:r w:rsidR="00380084" w:rsidRPr="00E4460C">
        <w:rPr>
          <w:rFonts w:ascii="仿宋_GB2312" w:eastAsia="仿宋_GB2312" w:cs="AdobeHeitiStd-Regular" w:hint="eastAsia"/>
          <w:color w:val="181818"/>
          <w:sz w:val="28"/>
          <w:szCs w:val="28"/>
        </w:rPr>
        <w:t>方法日益多元，</w:t>
      </w:r>
      <w:r w:rsidRPr="00E4460C">
        <w:rPr>
          <w:rFonts w:ascii="仿宋_GB2312" w:eastAsia="仿宋_GB2312" w:cs="AdobeHeitiStd-Regular" w:hint="eastAsia"/>
          <w:color w:val="181818"/>
          <w:sz w:val="28"/>
          <w:szCs w:val="28"/>
        </w:rPr>
        <w:t>与</w:t>
      </w:r>
      <w:r w:rsidR="00380084" w:rsidRPr="00E4460C">
        <w:rPr>
          <w:rFonts w:ascii="仿宋_GB2312" w:eastAsia="仿宋_GB2312" w:cs="AdobeHeitiStd-Regular" w:hint="eastAsia"/>
          <w:color w:val="181818"/>
          <w:sz w:val="28"/>
          <w:szCs w:val="28"/>
        </w:rPr>
        <w:t>管理学，法学，政治学，社会学等其他学科的关系</w:t>
      </w:r>
      <w:r w:rsidR="00507E88" w:rsidRPr="00E4460C">
        <w:rPr>
          <w:rFonts w:ascii="仿宋_GB2312" w:eastAsia="仿宋_GB2312" w:cs="AdobeHeitiStd-Regular" w:hint="eastAsia"/>
          <w:color w:val="181818"/>
          <w:sz w:val="28"/>
          <w:szCs w:val="28"/>
        </w:rPr>
        <w:t>日益紧密</w:t>
      </w:r>
      <w:r w:rsidR="00380084" w:rsidRPr="00E4460C">
        <w:rPr>
          <w:rFonts w:ascii="仿宋_GB2312" w:eastAsia="仿宋_GB2312" w:cs="AdobeHeitiStd-Regular" w:hint="eastAsia"/>
          <w:color w:val="181818"/>
          <w:sz w:val="28"/>
          <w:szCs w:val="28"/>
        </w:rPr>
        <w:t>。</w:t>
      </w:r>
    </w:p>
    <w:p w:rsidR="00990365" w:rsidRPr="00E4460C" w:rsidRDefault="00990365"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hint="eastAsia"/>
          <w:color w:val="000000"/>
          <w:sz w:val="28"/>
          <w:szCs w:val="28"/>
        </w:rPr>
        <w:t>（二）国内外设置该学科的状况和发展情况</w:t>
      </w:r>
    </w:p>
    <w:p w:rsidR="00507E88" w:rsidRPr="00E4460C" w:rsidRDefault="00BE77C2"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hint="eastAsia"/>
          <w:sz w:val="28"/>
          <w:szCs w:val="28"/>
        </w:rPr>
        <w:t>西方财政学自斯密创建经济学乃至财政学体系以来，从崇尚自由的</w:t>
      </w:r>
      <w:r w:rsidRPr="00E4460C">
        <w:rPr>
          <w:rFonts w:ascii="仿宋_GB2312" w:eastAsia="仿宋_GB2312" w:cs="SSJ0+ZDYIcH-2" w:hint="eastAsia"/>
          <w:color w:val="181818"/>
          <w:sz w:val="28"/>
          <w:szCs w:val="28"/>
        </w:rPr>
        <w:t>“</w:t>
      </w:r>
      <w:r w:rsidRPr="00E4460C">
        <w:rPr>
          <w:rFonts w:ascii="仿宋_GB2312" w:eastAsia="仿宋_GB2312" w:cs="AdobeHeitiStd-Regular" w:hint="eastAsia"/>
          <w:color w:val="181818"/>
          <w:sz w:val="28"/>
          <w:szCs w:val="28"/>
        </w:rPr>
        <w:t>盎格鲁</w:t>
      </w:r>
      <w:r w:rsidRPr="00E4460C">
        <w:rPr>
          <w:rFonts w:ascii="仿宋_GB2312" w:eastAsia="仿宋_GB2312" w:cs="SSJ0+ZDYIcH-2" w:hint="eastAsia"/>
          <w:color w:val="181818"/>
          <w:sz w:val="28"/>
          <w:szCs w:val="28"/>
        </w:rPr>
        <w:t>—</w:t>
      </w:r>
      <w:r w:rsidRPr="00E4460C">
        <w:rPr>
          <w:rFonts w:ascii="仿宋_GB2312" w:eastAsia="仿宋_GB2312" w:cs="AdobeHeitiStd-Regular" w:hint="eastAsia"/>
          <w:color w:val="181818"/>
          <w:sz w:val="28"/>
          <w:szCs w:val="28"/>
        </w:rPr>
        <w:t>撒克逊</w:t>
      </w:r>
      <w:r w:rsidRPr="00E4460C">
        <w:rPr>
          <w:rFonts w:ascii="仿宋_GB2312" w:eastAsia="仿宋_GB2312" w:cs="SSJ0+ZDYIcH-2" w:hint="eastAsia"/>
          <w:color w:val="181818"/>
          <w:sz w:val="28"/>
          <w:szCs w:val="28"/>
        </w:rPr>
        <w:t>”</w:t>
      </w:r>
      <w:r w:rsidR="00702915" w:rsidRPr="00E4460C">
        <w:rPr>
          <w:rFonts w:ascii="仿宋_GB2312" w:eastAsia="仿宋_GB2312" w:cs="AdobeHeitiStd-Regular" w:hint="eastAsia"/>
          <w:color w:val="181818"/>
          <w:sz w:val="28"/>
          <w:szCs w:val="28"/>
        </w:rPr>
        <w:t>传统到注重干预的“大陆”传统，再到两</w:t>
      </w:r>
      <w:r w:rsidRPr="00E4460C">
        <w:rPr>
          <w:rFonts w:ascii="仿宋_GB2312" w:eastAsia="仿宋_GB2312" w:cs="AdobeHeitiStd-Regular" w:hint="eastAsia"/>
          <w:color w:val="181818"/>
          <w:sz w:val="28"/>
          <w:szCs w:val="28"/>
        </w:rPr>
        <w:t>者的融合，财政学的研究</w:t>
      </w:r>
      <w:r w:rsidR="00702915" w:rsidRPr="00E4460C">
        <w:rPr>
          <w:rFonts w:ascii="仿宋_GB2312" w:eastAsia="仿宋_GB2312" w:cs="AdobeHeitiStd-Regular" w:hint="eastAsia"/>
          <w:color w:val="181818"/>
          <w:sz w:val="28"/>
          <w:szCs w:val="28"/>
        </w:rPr>
        <w:t>也</w:t>
      </w:r>
      <w:r w:rsidRPr="00E4460C">
        <w:rPr>
          <w:rFonts w:ascii="仿宋_GB2312" w:eastAsia="仿宋_GB2312" w:cs="AdobeHeitiStd-Regular" w:hint="eastAsia"/>
          <w:color w:val="181818"/>
          <w:sz w:val="28"/>
          <w:szCs w:val="28"/>
        </w:rPr>
        <w:t>经历了由</w:t>
      </w:r>
      <w:r w:rsidR="00FC0C72" w:rsidRPr="00E4460C">
        <w:rPr>
          <w:rFonts w:ascii="仿宋_GB2312" w:eastAsia="仿宋_GB2312" w:cs="AdobeHeitiStd-Regular" w:hint="eastAsia"/>
          <w:color w:val="181818"/>
          <w:sz w:val="28"/>
          <w:szCs w:val="28"/>
        </w:rPr>
        <w:t>注重</w:t>
      </w:r>
      <w:r w:rsidRPr="00E4460C">
        <w:rPr>
          <w:rFonts w:ascii="仿宋_GB2312" w:eastAsia="仿宋_GB2312" w:cs="AdobeHeitiStd-Regular" w:hint="eastAsia"/>
          <w:color w:val="181818"/>
          <w:sz w:val="28"/>
          <w:szCs w:val="28"/>
        </w:rPr>
        <w:t>财政收入到</w:t>
      </w:r>
      <w:r w:rsidR="00702915" w:rsidRPr="00E4460C">
        <w:rPr>
          <w:rFonts w:ascii="仿宋_GB2312" w:eastAsia="仿宋_GB2312" w:cs="AdobeHeitiStd-Regular" w:hint="eastAsia"/>
          <w:color w:val="181818"/>
          <w:sz w:val="28"/>
          <w:szCs w:val="28"/>
        </w:rPr>
        <w:t>注重</w:t>
      </w:r>
      <w:r w:rsidRPr="00E4460C">
        <w:rPr>
          <w:rFonts w:ascii="仿宋_GB2312" w:eastAsia="仿宋_GB2312" w:cs="AdobeHeitiStd-Regular" w:hint="eastAsia"/>
          <w:color w:val="181818"/>
          <w:sz w:val="28"/>
          <w:szCs w:val="28"/>
        </w:rPr>
        <w:t>财政支出</w:t>
      </w:r>
      <w:r w:rsidR="00702915" w:rsidRPr="00E4460C">
        <w:rPr>
          <w:rFonts w:ascii="仿宋_GB2312" w:eastAsia="仿宋_GB2312" w:cs="AdobeHeitiStd-Regular" w:hint="eastAsia"/>
          <w:color w:val="181818"/>
          <w:sz w:val="28"/>
          <w:szCs w:val="28"/>
        </w:rPr>
        <w:t>，</w:t>
      </w:r>
      <w:r w:rsidRPr="00E4460C">
        <w:rPr>
          <w:rFonts w:ascii="仿宋_GB2312" w:eastAsia="仿宋_GB2312" w:cs="AdobeHeitiStd-Regular" w:hint="eastAsia"/>
          <w:color w:val="181818"/>
          <w:sz w:val="28"/>
          <w:szCs w:val="28"/>
        </w:rPr>
        <w:t>再到二者融合</w:t>
      </w:r>
      <w:r w:rsidR="00FC0C72" w:rsidRPr="00E4460C">
        <w:rPr>
          <w:rFonts w:ascii="仿宋_GB2312" w:eastAsia="仿宋_GB2312" w:cs="AdobeHeitiStd-Regular" w:hint="eastAsia"/>
          <w:color w:val="181818"/>
          <w:sz w:val="28"/>
          <w:szCs w:val="28"/>
        </w:rPr>
        <w:t>，并</w:t>
      </w:r>
      <w:r w:rsidR="00702915" w:rsidRPr="00E4460C">
        <w:rPr>
          <w:rFonts w:ascii="仿宋_GB2312" w:eastAsia="仿宋_GB2312" w:cs="AdobeHeitiStd-Regular" w:hint="eastAsia"/>
          <w:color w:val="181818"/>
          <w:sz w:val="28"/>
          <w:szCs w:val="28"/>
        </w:rPr>
        <w:t>进而关注于</w:t>
      </w:r>
      <w:r w:rsidRPr="00E4460C">
        <w:rPr>
          <w:rFonts w:ascii="仿宋_GB2312" w:eastAsia="仿宋_GB2312" w:cs="AdobeHeitiStd-Regular" w:hint="eastAsia"/>
          <w:color w:val="181818"/>
          <w:sz w:val="28"/>
          <w:szCs w:val="28"/>
        </w:rPr>
        <w:t>财政政策</w:t>
      </w:r>
      <w:r w:rsidR="00FC0C72" w:rsidRPr="00E4460C">
        <w:rPr>
          <w:rFonts w:ascii="仿宋_GB2312" w:eastAsia="仿宋_GB2312" w:cs="AdobeHeitiStd-Regular" w:hint="eastAsia"/>
          <w:color w:val="181818"/>
          <w:sz w:val="28"/>
          <w:szCs w:val="28"/>
        </w:rPr>
        <w:t>的研究</w:t>
      </w:r>
      <w:r w:rsidR="00702915" w:rsidRPr="00E4460C">
        <w:rPr>
          <w:rFonts w:ascii="仿宋_GB2312" w:eastAsia="仿宋_GB2312" w:cs="AdobeHeitiStd-Regular" w:hint="eastAsia"/>
          <w:color w:val="181818"/>
          <w:sz w:val="28"/>
          <w:szCs w:val="28"/>
        </w:rPr>
        <w:t>历程</w:t>
      </w:r>
      <w:r w:rsidRPr="00E4460C">
        <w:rPr>
          <w:rFonts w:ascii="仿宋_GB2312" w:eastAsia="仿宋_GB2312" w:cs="AdobeHeitiStd-Regular" w:hint="eastAsia"/>
          <w:color w:val="181818"/>
          <w:sz w:val="28"/>
          <w:szCs w:val="28"/>
        </w:rPr>
        <w:t>，</w:t>
      </w:r>
      <w:r w:rsidR="00702915" w:rsidRPr="00E4460C">
        <w:rPr>
          <w:rFonts w:ascii="仿宋_GB2312" w:eastAsia="仿宋_GB2312" w:cs="AdobeHeitiStd-Regular" w:hint="eastAsia"/>
          <w:color w:val="181818"/>
          <w:sz w:val="28"/>
          <w:szCs w:val="28"/>
        </w:rPr>
        <w:t>在这一演化过程中，</w:t>
      </w:r>
      <w:r w:rsidR="00507E88" w:rsidRPr="00E4460C">
        <w:rPr>
          <w:rFonts w:ascii="仿宋_GB2312" w:eastAsia="仿宋_GB2312" w:cs="AdobeHeitiStd-Regular" w:hint="eastAsia"/>
          <w:color w:val="181818"/>
          <w:sz w:val="28"/>
          <w:szCs w:val="28"/>
        </w:rPr>
        <w:t>财政学作为经济学的一个重要分支，一个独立的专业学科，一直在经济学的研究领域中占据重要地位。虽然近年来，随着</w:t>
      </w:r>
      <w:r w:rsidRPr="00E4460C">
        <w:rPr>
          <w:rFonts w:ascii="仿宋_GB2312" w:eastAsia="仿宋_GB2312" w:cs="AdobeHeitiStd-Regular" w:hint="eastAsia"/>
          <w:color w:val="181818"/>
          <w:sz w:val="28"/>
          <w:szCs w:val="28"/>
        </w:rPr>
        <w:t>财政学科与</w:t>
      </w:r>
      <w:r w:rsidR="00702915" w:rsidRPr="00E4460C">
        <w:rPr>
          <w:rFonts w:ascii="仿宋_GB2312" w:eastAsia="仿宋_GB2312" w:cs="AdobeHeitiStd-Regular" w:hint="eastAsia"/>
          <w:color w:val="181818"/>
          <w:sz w:val="28"/>
          <w:szCs w:val="28"/>
        </w:rPr>
        <w:t>管理学、法学、政治学等</w:t>
      </w:r>
      <w:r w:rsidRPr="00E4460C">
        <w:rPr>
          <w:rFonts w:ascii="仿宋_GB2312" w:eastAsia="仿宋_GB2312" w:cs="AdobeHeitiStd-Regular" w:hint="eastAsia"/>
          <w:color w:val="181818"/>
          <w:sz w:val="28"/>
          <w:szCs w:val="28"/>
        </w:rPr>
        <w:t>其它学科的交叉性研究日益</w:t>
      </w:r>
      <w:r w:rsidR="00FC0C72" w:rsidRPr="00E4460C">
        <w:rPr>
          <w:rFonts w:ascii="仿宋_GB2312" w:eastAsia="仿宋_GB2312" w:cs="AdobeHeitiStd-Regular" w:hint="eastAsia"/>
          <w:color w:val="181818"/>
          <w:sz w:val="28"/>
          <w:szCs w:val="28"/>
        </w:rPr>
        <w:t>明显，但</w:t>
      </w:r>
      <w:r w:rsidR="00507E88" w:rsidRPr="00E4460C">
        <w:rPr>
          <w:rFonts w:ascii="仿宋_GB2312" w:eastAsia="仿宋_GB2312" w:cs="AdobeHeitiStd-Regular" w:hint="eastAsia"/>
          <w:color w:val="181818"/>
          <w:sz w:val="28"/>
          <w:szCs w:val="28"/>
        </w:rPr>
        <w:t>作为</w:t>
      </w:r>
      <w:r w:rsidR="00FC0C72" w:rsidRPr="00E4460C">
        <w:rPr>
          <w:rFonts w:ascii="仿宋_GB2312" w:eastAsia="仿宋_GB2312" w:cs="AdobeHeitiStd-Regular" w:hint="eastAsia"/>
          <w:color w:val="181818"/>
          <w:sz w:val="28"/>
          <w:szCs w:val="28"/>
        </w:rPr>
        <w:t>经济学</w:t>
      </w:r>
      <w:r w:rsidR="00507E88" w:rsidRPr="00E4460C">
        <w:rPr>
          <w:rFonts w:ascii="仿宋_GB2312" w:eastAsia="仿宋_GB2312" w:cs="AdobeHeitiStd-Regular" w:hint="eastAsia"/>
          <w:color w:val="181818"/>
          <w:sz w:val="28"/>
          <w:szCs w:val="28"/>
        </w:rPr>
        <w:t>科</w:t>
      </w:r>
      <w:r w:rsidR="00FC0C72" w:rsidRPr="00E4460C">
        <w:rPr>
          <w:rFonts w:ascii="仿宋_GB2312" w:eastAsia="仿宋_GB2312" w:cs="AdobeHeitiStd-Regular" w:hint="eastAsia"/>
          <w:color w:val="181818"/>
          <w:sz w:val="28"/>
          <w:szCs w:val="28"/>
        </w:rPr>
        <w:t>重要分支</w:t>
      </w:r>
      <w:r w:rsidR="00507E88" w:rsidRPr="00E4460C">
        <w:rPr>
          <w:rFonts w:ascii="仿宋_GB2312" w:eastAsia="仿宋_GB2312" w:cs="AdobeHeitiStd-Regular" w:hint="eastAsia"/>
          <w:color w:val="181818"/>
          <w:sz w:val="28"/>
          <w:szCs w:val="28"/>
        </w:rPr>
        <w:t>的地位一直没有动摇</w:t>
      </w:r>
      <w:r w:rsidR="00FC0C72" w:rsidRPr="00E4460C">
        <w:rPr>
          <w:rFonts w:ascii="仿宋_GB2312" w:eastAsia="仿宋_GB2312" w:cs="AdobeHeitiStd-Regular" w:hint="eastAsia"/>
          <w:color w:val="181818"/>
          <w:sz w:val="28"/>
          <w:szCs w:val="28"/>
        </w:rPr>
        <w:t>。</w:t>
      </w:r>
    </w:p>
    <w:p w:rsidR="00523BD2" w:rsidRPr="00E4460C" w:rsidRDefault="00BE77C2" w:rsidP="00E4460C">
      <w:pPr>
        <w:spacing w:line="500" w:lineRule="exact"/>
        <w:ind w:firstLineChars="200" w:firstLine="560"/>
        <w:rPr>
          <w:rFonts w:ascii="仿宋_GB2312" w:eastAsia="仿宋_GB2312" w:hint="eastAsia"/>
          <w:sz w:val="28"/>
          <w:szCs w:val="28"/>
        </w:rPr>
      </w:pPr>
      <w:r w:rsidRPr="00E4460C">
        <w:rPr>
          <w:rFonts w:ascii="仿宋_GB2312" w:eastAsia="仿宋_GB2312" w:cs="AdobeHeitiStd-Regular" w:hint="eastAsia"/>
          <w:color w:val="181818"/>
          <w:sz w:val="28"/>
          <w:szCs w:val="28"/>
        </w:rPr>
        <w:t>我国</w:t>
      </w:r>
      <w:r w:rsidR="00FC0C72" w:rsidRPr="00E4460C">
        <w:rPr>
          <w:rFonts w:ascii="仿宋_GB2312" w:eastAsia="仿宋_GB2312" w:cs="AdobeHeitiStd-Regular" w:hint="eastAsia"/>
          <w:color w:val="181818"/>
          <w:sz w:val="28"/>
          <w:szCs w:val="28"/>
        </w:rPr>
        <w:t>的</w:t>
      </w:r>
      <w:r w:rsidRPr="00E4460C">
        <w:rPr>
          <w:rFonts w:ascii="仿宋_GB2312" w:eastAsia="仿宋_GB2312" w:cs="AdobeHeitiStd-Regular" w:hint="eastAsia"/>
          <w:color w:val="181818"/>
          <w:sz w:val="28"/>
          <w:szCs w:val="28"/>
        </w:rPr>
        <w:t>财政学建国后经历了从</w:t>
      </w:r>
      <w:r w:rsidR="00FC0C72" w:rsidRPr="00E4460C">
        <w:rPr>
          <w:rFonts w:ascii="仿宋_GB2312" w:eastAsia="仿宋_GB2312" w:cs="AdobeHeitiStd-Regular" w:hint="eastAsia"/>
          <w:color w:val="181818"/>
          <w:sz w:val="28"/>
          <w:szCs w:val="28"/>
        </w:rPr>
        <w:t>计划经济条件下</w:t>
      </w:r>
      <w:r w:rsidR="00702915" w:rsidRPr="00E4460C">
        <w:rPr>
          <w:rFonts w:ascii="仿宋_GB2312" w:eastAsia="仿宋_GB2312" w:cs="AdobeHeitiStd-Regular" w:hint="eastAsia"/>
          <w:color w:val="181818"/>
          <w:sz w:val="28"/>
          <w:szCs w:val="28"/>
        </w:rPr>
        <w:t>的</w:t>
      </w:r>
      <w:r w:rsidR="00FC0C72" w:rsidRPr="00E4460C">
        <w:rPr>
          <w:rFonts w:ascii="仿宋_GB2312" w:eastAsia="仿宋_GB2312" w:cs="AdobeHeitiStd-Regular" w:hint="eastAsia"/>
          <w:color w:val="181818"/>
          <w:sz w:val="28"/>
          <w:szCs w:val="28"/>
        </w:rPr>
        <w:t>财政学到市场经济条件下</w:t>
      </w:r>
      <w:r w:rsidR="00702915" w:rsidRPr="00E4460C">
        <w:rPr>
          <w:rFonts w:ascii="仿宋_GB2312" w:eastAsia="仿宋_GB2312" w:cs="AdobeHeitiStd-Regular" w:hint="eastAsia"/>
          <w:color w:val="181818"/>
          <w:sz w:val="28"/>
          <w:szCs w:val="28"/>
        </w:rPr>
        <w:t>的</w:t>
      </w:r>
      <w:r w:rsidR="00507E88" w:rsidRPr="00E4460C">
        <w:rPr>
          <w:rFonts w:ascii="仿宋_GB2312" w:eastAsia="仿宋_GB2312" w:cs="AdobeHeitiStd-Regular" w:hint="eastAsia"/>
          <w:color w:val="181818"/>
          <w:sz w:val="28"/>
          <w:szCs w:val="28"/>
        </w:rPr>
        <w:t>财政学的回归与重构。就学科建设而言，</w:t>
      </w:r>
      <w:r w:rsidR="00D83570" w:rsidRPr="00E4460C">
        <w:rPr>
          <w:rFonts w:ascii="仿宋_GB2312" w:eastAsia="仿宋_GB2312" w:cs="AdobeHeitiStd-Regular" w:hint="eastAsia"/>
          <w:color w:val="181818"/>
          <w:sz w:val="28"/>
          <w:szCs w:val="28"/>
        </w:rPr>
        <w:t>我国建国</w:t>
      </w:r>
      <w:r w:rsidR="00507E88" w:rsidRPr="00E4460C">
        <w:rPr>
          <w:rFonts w:ascii="仿宋_GB2312" w:eastAsia="仿宋_GB2312" w:cs="AdobeHeitiStd-Regular" w:hint="eastAsia"/>
          <w:color w:val="181818"/>
          <w:sz w:val="28"/>
          <w:szCs w:val="28"/>
        </w:rPr>
        <w:t>后就建立了独立的财政学学科专业，文革期间一度停办，</w:t>
      </w:r>
      <w:r w:rsidR="00D83570" w:rsidRPr="00E4460C">
        <w:rPr>
          <w:rFonts w:ascii="仿宋_GB2312" w:eastAsia="仿宋_GB2312" w:cs="AdobeHeitiStd-Regular" w:hint="eastAsia"/>
          <w:color w:val="181818"/>
          <w:sz w:val="28"/>
          <w:szCs w:val="28"/>
        </w:rPr>
        <w:t>恢复高考后重建，其研究成果一直是指导我国政府财政活动的重要理论来源，财政学专业也成为我国许多高校国家级或省部级重点学科。</w:t>
      </w:r>
    </w:p>
    <w:p w:rsidR="00990365" w:rsidRPr="00E4460C" w:rsidRDefault="00990365"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hint="eastAsia"/>
          <w:color w:val="000000"/>
          <w:sz w:val="28"/>
          <w:szCs w:val="28"/>
        </w:rPr>
        <w:t>（三）该学科的主要研究方向及研究内容</w:t>
      </w:r>
    </w:p>
    <w:p w:rsidR="00E96F71" w:rsidRPr="00E4460C" w:rsidRDefault="00E7374E"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从已创建该学科的高校来看，无论是综合院校还是财经院校，其研究方向</w:t>
      </w:r>
      <w:r w:rsidR="008F56DA" w:rsidRPr="00E4460C">
        <w:rPr>
          <w:rFonts w:ascii="仿宋_GB2312" w:eastAsia="仿宋_GB2312" w:cs="AdobeHeitiStd-Regular" w:hint="eastAsia"/>
          <w:color w:val="181818"/>
          <w:sz w:val="28"/>
          <w:szCs w:val="28"/>
        </w:rPr>
        <w:t>的设置</w:t>
      </w:r>
      <w:r w:rsidR="00F10D8F" w:rsidRPr="00E4460C">
        <w:rPr>
          <w:rFonts w:ascii="仿宋_GB2312" w:eastAsia="仿宋_GB2312" w:cs="AdobeHeitiStd-Regular" w:hint="eastAsia"/>
          <w:color w:val="181818"/>
          <w:sz w:val="28"/>
          <w:szCs w:val="28"/>
        </w:rPr>
        <w:t>主要分为两类，一类是设置</w:t>
      </w:r>
      <w:r w:rsidR="008F56DA" w:rsidRPr="00E4460C">
        <w:rPr>
          <w:rFonts w:ascii="仿宋_GB2312" w:eastAsia="仿宋_GB2312" w:cs="AdobeHeitiStd-Regular" w:hint="eastAsia"/>
          <w:color w:val="181818"/>
          <w:sz w:val="28"/>
          <w:szCs w:val="28"/>
        </w:rPr>
        <w:t>口径相对较宽，主要</w:t>
      </w:r>
      <w:r w:rsidRPr="00E4460C">
        <w:rPr>
          <w:rFonts w:ascii="仿宋_GB2312" w:eastAsia="仿宋_GB2312" w:cs="AdobeHeitiStd-Regular" w:hint="eastAsia"/>
          <w:color w:val="181818"/>
          <w:sz w:val="28"/>
          <w:szCs w:val="28"/>
        </w:rPr>
        <w:t>包括</w:t>
      </w:r>
      <w:r w:rsidR="008F56DA" w:rsidRPr="00E4460C">
        <w:rPr>
          <w:rFonts w:ascii="仿宋_GB2312" w:eastAsia="仿宋_GB2312" w:cs="AdobeHeitiStd-Regular" w:hint="eastAsia"/>
          <w:color w:val="181818"/>
          <w:sz w:val="28"/>
          <w:szCs w:val="28"/>
        </w:rPr>
        <w:t>：财政理论与政策，该方向重视中外财政基础理论研究，并注重政策的</w:t>
      </w:r>
      <w:r w:rsidR="008F56DA" w:rsidRPr="00E4460C">
        <w:rPr>
          <w:rFonts w:ascii="仿宋_GB2312" w:eastAsia="仿宋_GB2312" w:cs="AdobeHeitiStd-Regular" w:hint="eastAsia"/>
          <w:color w:val="181818"/>
          <w:sz w:val="28"/>
          <w:szCs w:val="28"/>
        </w:rPr>
        <w:lastRenderedPageBreak/>
        <w:t>运用，为政府理财提供政策和建议；税收理论与政策，该方向主要研究税收基本理论，税收制度与政策，税务管理以及公司税务等；国际税收研究</w:t>
      </w:r>
      <w:r w:rsidR="001342D0" w:rsidRPr="00E4460C">
        <w:rPr>
          <w:rFonts w:ascii="仿宋_GB2312" w:eastAsia="仿宋_GB2312" w:cs="AdobeHeitiStd-Regular" w:hint="eastAsia"/>
          <w:color w:val="181818"/>
          <w:sz w:val="28"/>
          <w:szCs w:val="28"/>
        </w:rPr>
        <w:t>，</w:t>
      </w:r>
      <w:r w:rsidR="008F56DA" w:rsidRPr="00E4460C">
        <w:rPr>
          <w:rFonts w:ascii="仿宋_GB2312" w:eastAsia="仿宋_GB2312" w:cs="AdobeHeitiStd-Regular" w:hint="eastAsia"/>
          <w:color w:val="181818"/>
          <w:sz w:val="28"/>
          <w:szCs w:val="28"/>
        </w:rPr>
        <w:t>主要研究非居民的征税规则，外国税收抵免制度，国际偷漏税、避税及其防范措施，区域性税收协调等国际税收问题；投资理论与</w:t>
      </w:r>
      <w:r w:rsidR="00F10D8F" w:rsidRPr="00E4460C">
        <w:rPr>
          <w:rFonts w:ascii="仿宋_GB2312" w:eastAsia="仿宋_GB2312" w:cs="AdobeHeitiStd-Regular" w:hint="eastAsia"/>
          <w:color w:val="181818"/>
          <w:sz w:val="28"/>
          <w:szCs w:val="28"/>
        </w:rPr>
        <w:t>政策，该方向主要</w:t>
      </w:r>
      <w:r w:rsidR="008F56DA" w:rsidRPr="00E4460C">
        <w:rPr>
          <w:rFonts w:ascii="仿宋_GB2312" w:eastAsia="仿宋_GB2312" w:cs="AdobeHeitiStd-Regular" w:hint="eastAsia"/>
          <w:color w:val="181818"/>
          <w:sz w:val="28"/>
          <w:szCs w:val="28"/>
        </w:rPr>
        <w:t>研究投资与经济波动，投资与经济增长的关系</w:t>
      </w:r>
      <w:r w:rsidR="00F10D8F" w:rsidRPr="00E4460C">
        <w:rPr>
          <w:rFonts w:ascii="仿宋_GB2312" w:eastAsia="仿宋_GB2312" w:cs="AdobeHeitiStd-Regular" w:hint="eastAsia"/>
          <w:color w:val="181818"/>
          <w:sz w:val="28"/>
          <w:szCs w:val="28"/>
        </w:rPr>
        <w:t>以及</w:t>
      </w:r>
      <w:r w:rsidR="008F56DA" w:rsidRPr="00E4460C">
        <w:rPr>
          <w:rFonts w:ascii="仿宋_GB2312" w:eastAsia="仿宋_GB2312" w:cs="AdobeHeitiStd-Regular" w:hint="eastAsia"/>
          <w:color w:val="181818"/>
          <w:sz w:val="28"/>
          <w:szCs w:val="28"/>
        </w:rPr>
        <w:t>研究资产</w:t>
      </w:r>
      <w:r w:rsidR="00311B64" w:rsidRPr="00E4460C">
        <w:rPr>
          <w:rFonts w:ascii="仿宋_GB2312" w:eastAsia="仿宋_GB2312" w:cs="AdobeHeitiStd-Regular" w:hint="eastAsia"/>
          <w:color w:val="181818"/>
          <w:sz w:val="28"/>
          <w:szCs w:val="28"/>
        </w:rPr>
        <w:t>定价和企业财务理论。</w:t>
      </w:r>
      <w:r w:rsidR="001342D0" w:rsidRPr="00E4460C">
        <w:rPr>
          <w:rFonts w:ascii="仿宋_GB2312" w:eastAsia="仿宋_GB2312" w:cs="AdobeHeitiStd-Regular" w:hint="eastAsia"/>
          <w:color w:val="181818"/>
          <w:sz w:val="28"/>
          <w:szCs w:val="28"/>
        </w:rPr>
        <w:t>这种设置方式便于将该校较强的科研力量纳入其中，避免了研究方向设置过多、过杂的问题。</w:t>
      </w:r>
    </w:p>
    <w:p w:rsidR="00311B64" w:rsidRPr="00197EB7" w:rsidRDefault="00E96F71" w:rsidP="00197EB7">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另</w:t>
      </w:r>
      <w:r w:rsidR="00F10D8F" w:rsidRPr="00E4460C">
        <w:rPr>
          <w:rFonts w:ascii="仿宋_GB2312" w:eastAsia="仿宋_GB2312" w:cs="AdobeHeitiStd-Regular" w:hint="eastAsia"/>
          <w:color w:val="181818"/>
          <w:sz w:val="28"/>
          <w:szCs w:val="28"/>
        </w:rPr>
        <w:t>一类是</w:t>
      </w:r>
      <w:r w:rsidRPr="00E4460C">
        <w:rPr>
          <w:rFonts w:ascii="仿宋_GB2312" w:eastAsia="仿宋_GB2312" w:cs="AdobeHeitiStd-Regular" w:hint="eastAsia"/>
          <w:color w:val="181818"/>
          <w:sz w:val="28"/>
          <w:szCs w:val="28"/>
        </w:rPr>
        <w:t>在保证财政基础理论研究的同时，</w:t>
      </w:r>
      <w:r w:rsidR="00F10D8F" w:rsidRPr="00E4460C">
        <w:rPr>
          <w:rFonts w:ascii="仿宋_GB2312" w:eastAsia="仿宋_GB2312" w:cs="AdobeHeitiStd-Regular" w:hint="eastAsia"/>
          <w:color w:val="181818"/>
          <w:sz w:val="28"/>
          <w:szCs w:val="28"/>
        </w:rPr>
        <w:t>更突出该校的研究特色，</w:t>
      </w:r>
      <w:r w:rsidRPr="00E4460C">
        <w:rPr>
          <w:rFonts w:ascii="仿宋_GB2312" w:eastAsia="仿宋_GB2312" w:cs="AdobeHeitiStd-Regular" w:hint="eastAsia"/>
          <w:color w:val="181818"/>
          <w:sz w:val="28"/>
          <w:szCs w:val="28"/>
        </w:rPr>
        <w:t>名称往往是基于某类或某个财政问题进行设置，</w:t>
      </w:r>
      <w:r w:rsidR="00F10D8F" w:rsidRPr="00E4460C">
        <w:rPr>
          <w:rFonts w:ascii="仿宋_GB2312" w:eastAsia="仿宋_GB2312" w:cs="AdobeHeitiStd-Regular" w:hint="eastAsia"/>
          <w:color w:val="181818"/>
          <w:sz w:val="28"/>
          <w:szCs w:val="28"/>
        </w:rPr>
        <w:t>如</w:t>
      </w:r>
      <w:r w:rsidRPr="00E4460C">
        <w:rPr>
          <w:rFonts w:ascii="仿宋_GB2312" w:eastAsia="仿宋_GB2312" w:cs="AdobeHeitiStd-Regular" w:hint="eastAsia"/>
          <w:color w:val="181818"/>
          <w:sz w:val="28"/>
          <w:szCs w:val="28"/>
        </w:rPr>
        <w:t>有些高校</w:t>
      </w:r>
      <w:r w:rsidR="00F10D8F" w:rsidRPr="00E4460C">
        <w:rPr>
          <w:rFonts w:ascii="仿宋_GB2312" w:eastAsia="仿宋_GB2312" w:cs="AdobeHeitiStd-Regular" w:hint="eastAsia"/>
          <w:color w:val="181818"/>
          <w:sz w:val="28"/>
          <w:szCs w:val="28"/>
        </w:rPr>
        <w:t>设立国有资产管理，该方向主要研究国有资产的预算管理，国有资产的管理体制等；社会保障，该方向主要是从政府的角度，运用经济学的分析方法研究中外养老、医疗等社会保障问题，侧重于社会保障基金的运行等；地方财政管理或区域财政管理，该方向主要从财政体制出发，研究</w:t>
      </w:r>
      <w:r w:rsidRPr="00E4460C">
        <w:rPr>
          <w:rFonts w:ascii="仿宋_GB2312" w:eastAsia="仿宋_GB2312" w:cs="AdobeHeitiStd-Regular" w:hint="eastAsia"/>
          <w:color w:val="181818"/>
          <w:sz w:val="28"/>
          <w:szCs w:val="28"/>
        </w:rPr>
        <w:t>地方税收体系，区域间的税收竞争以及地方财政支出等；企业财务与税收筹划，该方向主要是基于现有企业财务制度和税收制度，为纳税人合理避税和为政府优化税制而服务</w:t>
      </w:r>
      <w:r w:rsidR="001342D0" w:rsidRPr="00E4460C">
        <w:rPr>
          <w:rFonts w:ascii="仿宋_GB2312" w:eastAsia="仿宋_GB2312" w:cs="AdobeHeitiStd-Regular" w:hint="eastAsia"/>
          <w:color w:val="181818"/>
          <w:sz w:val="28"/>
          <w:szCs w:val="28"/>
        </w:rPr>
        <w:t>，等</w:t>
      </w:r>
      <w:r w:rsidRPr="00E4460C">
        <w:rPr>
          <w:rFonts w:ascii="仿宋_GB2312" w:eastAsia="仿宋_GB2312" w:cs="AdobeHeitiStd-Regular" w:hint="eastAsia"/>
          <w:color w:val="181818"/>
          <w:sz w:val="28"/>
          <w:szCs w:val="28"/>
        </w:rPr>
        <w:t>等。</w:t>
      </w:r>
      <w:r w:rsidR="001342D0" w:rsidRPr="00E4460C">
        <w:rPr>
          <w:rFonts w:ascii="仿宋_GB2312" w:eastAsia="仿宋_GB2312" w:cs="AdobeHeitiStd-Regular" w:hint="eastAsia"/>
          <w:color w:val="181818"/>
          <w:sz w:val="28"/>
          <w:szCs w:val="28"/>
        </w:rPr>
        <w:t>这种设置方式</w:t>
      </w:r>
      <w:r w:rsidR="00311B64" w:rsidRPr="00E4460C">
        <w:rPr>
          <w:rFonts w:ascii="仿宋_GB2312" w:eastAsia="仿宋_GB2312" w:cs="AdobeHeitiStd-Regular" w:hint="eastAsia"/>
          <w:color w:val="181818"/>
          <w:sz w:val="28"/>
          <w:szCs w:val="28"/>
        </w:rPr>
        <w:t>突出了自身研究特色，能够集中研究力量进行某个方向的突破。</w:t>
      </w:r>
    </w:p>
    <w:p w:rsidR="00990365" w:rsidRPr="00BE28B4" w:rsidRDefault="00990365" w:rsidP="00197EB7">
      <w:pPr>
        <w:ind w:firstLineChars="200" w:firstLine="602"/>
        <w:rPr>
          <w:rFonts w:eastAsia="仿宋_GB2312"/>
          <w:b/>
          <w:bCs/>
          <w:color w:val="000000"/>
          <w:sz w:val="30"/>
          <w:szCs w:val="30"/>
        </w:rPr>
      </w:pPr>
      <w:r w:rsidRPr="00BE28B4">
        <w:rPr>
          <w:rFonts w:eastAsia="仿宋_GB2312"/>
          <w:b/>
          <w:bCs/>
          <w:color w:val="000000"/>
          <w:sz w:val="30"/>
          <w:szCs w:val="30"/>
        </w:rPr>
        <w:t>二、设置该学科的必要性和可行性</w:t>
      </w:r>
    </w:p>
    <w:p w:rsidR="00990365" w:rsidRPr="00E4460C" w:rsidRDefault="00990365" w:rsidP="00E4460C">
      <w:pPr>
        <w:spacing w:line="500" w:lineRule="exact"/>
        <w:ind w:firstLineChars="200" w:firstLine="560"/>
        <w:rPr>
          <w:rFonts w:ascii="仿宋_GB2312" w:eastAsia="仿宋_GB2312"/>
          <w:color w:val="000000"/>
          <w:sz w:val="28"/>
          <w:szCs w:val="28"/>
        </w:rPr>
      </w:pPr>
      <w:r w:rsidRPr="00E4460C">
        <w:rPr>
          <w:rFonts w:ascii="仿宋_GB2312" w:eastAsia="仿宋_GB2312"/>
          <w:color w:val="000000"/>
          <w:sz w:val="28"/>
          <w:szCs w:val="28"/>
        </w:rPr>
        <w:t>（一）社会对该学科人才的需求情况</w:t>
      </w:r>
    </w:p>
    <w:p w:rsidR="002B5CA5" w:rsidRPr="00E4460C" w:rsidRDefault="006C608C"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财政学专业培养具备财政、税务等方面的理论知识和业务技能，属于宽口径就业的专业，毕业生就业选择可以到各级财政、税务及其他经济管理部门、</w:t>
      </w:r>
      <w:r w:rsidR="00AA72F0" w:rsidRPr="00E4460C">
        <w:rPr>
          <w:rFonts w:ascii="仿宋_GB2312" w:eastAsia="仿宋_GB2312" w:hint="eastAsia"/>
          <w:color w:val="000000"/>
          <w:sz w:val="28"/>
          <w:szCs w:val="28"/>
        </w:rPr>
        <w:t>金融机构、咨询公司、会计师事务所、资产评估、税务代理等</w:t>
      </w:r>
      <w:r w:rsidRPr="00E4460C">
        <w:rPr>
          <w:rFonts w:ascii="仿宋_GB2312" w:eastAsia="仿宋_GB2312" w:hint="eastAsia"/>
          <w:color w:val="000000"/>
          <w:sz w:val="28"/>
          <w:szCs w:val="28"/>
        </w:rPr>
        <w:t>机构从事宏观经济管理、企业管理、资产评估、税务代理等工作。</w:t>
      </w:r>
      <w:r w:rsidR="00AA72F0" w:rsidRPr="00E4460C">
        <w:rPr>
          <w:rFonts w:ascii="仿宋_GB2312" w:eastAsia="仿宋_GB2312" w:hint="eastAsia"/>
          <w:color w:val="000000"/>
          <w:sz w:val="28"/>
          <w:szCs w:val="28"/>
        </w:rPr>
        <w:t>财政学硕士学科虽然设置时间较长，但是由于改革开放后，知识更新与学科融合速度</w:t>
      </w:r>
      <w:r w:rsidR="002B5CA5" w:rsidRPr="00E4460C">
        <w:rPr>
          <w:rFonts w:ascii="仿宋_GB2312" w:eastAsia="仿宋_GB2312" w:hint="eastAsia"/>
          <w:color w:val="000000"/>
          <w:sz w:val="28"/>
          <w:szCs w:val="28"/>
        </w:rPr>
        <w:t>的</w:t>
      </w:r>
      <w:r w:rsidR="00AA72F0" w:rsidRPr="00E4460C">
        <w:rPr>
          <w:rFonts w:ascii="仿宋_GB2312" w:eastAsia="仿宋_GB2312" w:hint="eastAsia"/>
          <w:color w:val="000000"/>
          <w:sz w:val="28"/>
          <w:szCs w:val="28"/>
        </w:rPr>
        <w:t>加快，财政学硕士的就业形势一直很好，目前具有财税理论知识</w:t>
      </w:r>
      <w:r w:rsidR="00B71D01" w:rsidRPr="00E4460C">
        <w:rPr>
          <w:rFonts w:ascii="仿宋_GB2312" w:eastAsia="仿宋_GB2312" w:hint="eastAsia"/>
          <w:color w:val="000000"/>
          <w:sz w:val="28"/>
          <w:szCs w:val="28"/>
        </w:rPr>
        <w:t>，具有一定水平文字撰写能力，同时又具有法学以及管理学方面知识的复</w:t>
      </w:r>
      <w:r w:rsidR="00AA72F0" w:rsidRPr="00E4460C">
        <w:rPr>
          <w:rFonts w:ascii="仿宋_GB2312" w:eastAsia="仿宋_GB2312" w:hint="eastAsia"/>
          <w:color w:val="000000"/>
          <w:sz w:val="28"/>
          <w:szCs w:val="28"/>
        </w:rPr>
        <w:t>合型人才更是社会急需的高层次人才，因</w:t>
      </w:r>
      <w:r w:rsidR="00AA72F0" w:rsidRPr="00E4460C">
        <w:rPr>
          <w:rFonts w:ascii="仿宋_GB2312" w:eastAsia="仿宋_GB2312" w:hint="eastAsia"/>
          <w:color w:val="000000"/>
          <w:sz w:val="28"/>
          <w:szCs w:val="28"/>
        </w:rPr>
        <w:lastRenderedPageBreak/>
        <w:t>此，我校设立</w:t>
      </w:r>
      <w:r w:rsidR="005624D3" w:rsidRPr="00E4460C">
        <w:rPr>
          <w:rFonts w:ascii="仿宋_GB2312" w:eastAsia="仿宋_GB2312" w:hint="eastAsia"/>
          <w:color w:val="000000"/>
          <w:sz w:val="28"/>
          <w:szCs w:val="28"/>
        </w:rPr>
        <w:t>该学科点</w:t>
      </w:r>
      <w:r w:rsidR="00AA72F0" w:rsidRPr="00E4460C">
        <w:rPr>
          <w:rFonts w:ascii="仿宋_GB2312" w:eastAsia="仿宋_GB2312" w:hint="eastAsia"/>
          <w:color w:val="000000"/>
          <w:sz w:val="28"/>
          <w:szCs w:val="28"/>
        </w:rPr>
        <w:t>，预测</w:t>
      </w:r>
      <w:r w:rsidR="005624D3" w:rsidRPr="00E4460C">
        <w:rPr>
          <w:rFonts w:ascii="仿宋_GB2312" w:eastAsia="仿宋_GB2312" w:hint="eastAsia"/>
          <w:color w:val="000000"/>
          <w:sz w:val="28"/>
          <w:szCs w:val="28"/>
        </w:rPr>
        <w:t>就业形势</w:t>
      </w:r>
      <w:r w:rsidR="00AA72F0" w:rsidRPr="00E4460C">
        <w:rPr>
          <w:rFonts w:ascii="仿宋_GB2312" w:eastAsia="仿宋_GB2312" w:hint="eastAsia"/>
          <w:color w:val="000000"/>
          <w:sz w:val="28"/>
          <w:szCs w:val="28"/>
        </w:rPr>
        <w:t>将极为乐观</w:t>
      </w:r>
      <w:r w:rsidR="005624D3" w:rsidRPr="00E4460C">
        <w:rPr>
          <w:rFonts w:ascii="仿宋_GB2312" w:eastAsia="仿宋_GB2312" w:hint="eastAsia"/>
          <w:color w:val="000000"/>
          <w:sz w:val="28"/>
          <w:szCs w:val="28"/>
        </w:rPr>
        <w:t>。</w:t>
      </w:r>
    </w:p>
    <w:p w:rsidR="006C608C" w:rsidRPr="00E4460C" w:rsidRDefault="002B5CA5"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此外，</w:t>
      </w:r>
      <w:r w:rsidRPr="00E4460C">
        <w:rPr>
          <w:rFonts w:ascii="仿宋_GB2312" w:eastAsia="仿宋_GB2312"/>
          <w:color w:val="000000"/>
          <w:sz w:val="28"/>
          <w:szCs w:val="28"/>
        </w:rPr>
        <w:t>税务硕士专业学位(Master of Taxation</w:t>
      </w:r>
      <w:r w:rsidRPr="00E4460C">
        <w:rPr>
          <w:rFonts w:ascii="仿宋_GB2312" w:eastAsia="仿宋_GB2312"/>
          <w:color w:val="000000"/>
          <w:sz w:val="28"/>
          <w:szCs w:val="28"/>
        </w:rPr>
        <w:t>”</w:t>
      </w:r>
      <w:r w:rsidRPr="00E4460C">
        <w:rPr>
          <w:rFonts w:ascii="仿宋_GB2312" w:eastAsia="仿宋_GB2312"/>
          <w:color w:val="000000"/>
          <w:sz w:val="28"/>
          <w:szCs w:val="28"/>
        </w:rPr>
        <w:t>，简称MT)是2010年1月经国务院学位委员会批准新增设的19个硕士专业学位之一</w:t>
      </w:r>
      <w:r w:rsidRPr="00E4460C">
        <w:rPr>
          <w:rFonts w:ascii="仿宋_GB2312" w:eastAsia="仿宋_GB2312" w:hint="eastAsia"/>
          <w:color w:val="000000"/>
          <w:sz w:val="28"/>
          <w:szCs w:val="28"/>
        </w:rPr>
        <w:t>，而税务专业目前包含在财政学专业内，因此，财政学专业的设立对校和我院今后申请</w:t>
      </w:r>
      <w:r w:rsidRPr="00E4460C">
        <w:rPr>
          <w:rFonts w:ascii="仿宋_GB2312" w:eastAsia="仿宋_GB2312"/>
          <w:color w:val="000000"/>
          <w:sz w:val="28"/>
          <w:szCs w:val="28"/>
        </w:rPr>
        <w:t>税务硕士专业学位</w:t>
      </w:r>
      <w:r w:rsidR="001342D0" w:rsidRPr="00E4460C">
        <w:rPr>
          <w:rFonts w:ascii="仿宋_GB2312" w:eastAsia="仿宋_GB2312" w:hint="eastAsia"/>
          <w:color w:val="000000"/>
          <w:sz w:val="28"/>
          <w:szCs w:val="28"/>
        </w:rPr>
        <w:t>授予权是必备的基础。就目前从授予该专业学位授予权的学校来看</w:t>
      </w:r>
      <w:r w:rsidRPr="00E4460C">
        <w:rPr>
          <w:rFonts w:ascii="仿宋_GB2312" w:eastAsia="仿宋_GB2312" w:hint="eastAsia"/>
          <w:color w:val="000000"/>
          <w:sz w:val="28"/>
          <w:szCs w:val="28"/>
        </w:rPr>
        <w:t>，</w:t>
      </w:r>
      <w:r w:rsidRPr="00E4460C">
        <w:rPr>
          <w:rFonts w:ascii="仿宋_GB2312" w:eastAsia="仿宋_GB2312"/>
          <w:color w:val="000000"/>
          <w:sz w:val="28"/>
          <w:szCs w:val="28"/>
        </w:rPr>
        <w:t>税务硕士专业学位</w:t>
      </w:r>
      <w:r w:rsidRPr="00E4460C">
        <w:rPr>
          <w:rFonts w:ascii="仿宋_GB2312" w:eastAsia="仿宋_GB2312" w:hint="eastAsia"/>
          <w:color w:val="000000"/>
          <w:sz w:val="28"/>
          <w:szCs w:val="28"/>
        </w:rPr>
        <w:t>的需求量很大，</w:t>
      </w:r>
      <w:r w:rsidR="000B3537" w:rsidRPr="00E4460C">
        <w:rPr>
          <w:rFonts w:ascii="仿宋_GB2312" w:eastAsia="仿宋_GB2312" w:hint="eastAsia"/>
          <w:color w:val="000000"/>
          <w:sz w:val="28"/>
          <w:szCs w:val="28"/>
        </w:rPr>
        <w:t xml:space="preserve">具有很大的发展空间。 </w:t>
      </w:r>
    </w:p>
    <w:p w:rsidR="00990365" w:rsidRPr="00E4460C" w:rsidRDefault="00990365" w:rsidP="00E4460C">
      <w:pPr>
        <w:spacing w:line="500" w:lineRule="exact"/>
        <w:ind w:firstLineChars="200" w:firstLine="560"/>
        <w:rPr>
          <w:rFonts w:ascii="仿宋_GB2312" w:eastAsia="仿宋_GB2312"/>
          <w:color w:val="000000"/>
          <w:sz w:val="28"/>
          <w:szCs w:val="28"/>
        </w:rPr>
      </w:pPr>
      <w:r w:rsidRPr="00E4460C">
        <w:rPr>
          <w:rFonts w:ascii="仿宋_GB2312" w:eastAsia="仿宋_GB2312"/>
          <w:color w:val="000000"/>
          <w:sz w:val="28"/>
          <w:szCs w:val="28"/>
        </w:rPr>
        <w:t>（二）设置该学科的目的</w:t>
      </w:r>
    </w:p>
    <w:p w:rsidR="004929B9" w:rsidRPr="00E4460C" w:rsidRDefault="004929B9"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一方面，</w:t>
      </w:r>
      <w:r w:rsidR="00AA2AAB" w:rsidRPr="00E4460C">
        <w:rPr>
          <w:rFonts w:ascii="仿宋_GB2312" w:eastAsia="仿宋_GB2312" w:hint="eastAsia"/>
          <w:color w:val="000000"/>
          <w:sz w:val="28"/>
          <w:szCs w:val="28"/>
        </w:rPr>
        <w:t>财政学是经济学的核心基础课程，财政学的本科、硕士、博士等专业学位，无论是在综合性院校还是在财经政法类院校，其招生与培养的学生数量都是名列前茅的，我校在该专业的发展显然是滞后的。但</w:t>
      </w:r>
      <w:r w:rsidRPr="00E4460C">
        <w:rPr>
          <w:rFonts w:ascii="仿宋_GB2312" w:eastAsia="仿宋_GB2312" w:hint="eastAsia"/>
          <w:color w:val="000000"/>
          <w:sz w:val="28"/>
          <w:szCs w:val="28"/>
        </w:rPr>
        <w:t>近几年</w:t>
      </w:r>
      <w:r w:rsidR="00AA2AAB" w:rsidRPr="00E4460C">
        <w:rPr>
          <w:rFonts w:ascii="仿宋_GB2312" w:eastAsia="仿宋_GB2312" w:hint="eastAsia"/>
          <w:color w:val="000000"/>
          <w:sz w:val="28"/>
          <w:szCs w:val="28"/>
        </w:rPr>
        <w:t>，我校财政学的研究立足于</w:t>
      </w:r>
      <w:r w:rsidRPr="00E4460C">
        <w:rPr>
          <w:rFonts w:ascii="仿宋_GB2312" w:eastAsia="仿宋_GB2312" w:hint="eastAsia"/>
          <w:color w:val="000000"/>
          <w:sz w:val="28"/>
          <w:szCs w:val="28"/>
        </w:rPr>
        <w:t>理论经济学、产业经济学、区域经济学等经济学学科的发展以及依托于法学等传统优势学科的深厚积淀，实力逐步增强，且逐步形成了自身的研究特色。主要表现在：财政政策研究，基于理论经济学、产业经济学和区域经济学的发展，突出财政政策与产业发展、区域经济发展的互动研究；财政投资与融资研究，在传统的关于国家财政投资与公债的研究领域，关注于地方财政投融资领域的研究，并注重金融学、管理学的运用，努力打造效益财政；财税制度与法治的研究，在注重财税基础理论研究的同时，结合会计学理论与实务，并注重从法律的角度进行分析并进行制度设计，为政府和公众双向服务。因此，目前将</w:t>
      </w:r>
      <w:r w:rsidR="00AA2AAB" w:rsidRPr="00E4460C">
        <w:rPr>
          <w:rFonts w:ascii="仿宋_GB2312" w:eastAsia="仿宋_GB2312" w:hint="eastAsia"/>
          <w:color w:val="000000"/>
          <w:sz w:val="28"/>
          <w:szCs w:val="28"/>
        </w:rPr>
        <w:t>财政学</w:t>
      </w:r>
      <w:r w:rsidRPr="00E4460C">
        <w:rPr>
          <w:rFonts w:ascii="仿宋_GB2312" w:eastAsia="仿宋_GB2312" w:hint="eastAsia"/>
          <w:color w:val="000000"/>
          <w:sz w:val="28"/>
          <w:szCs w:val="28"/>
        </w:rPr>
        <w:t>设置为经济学二级学科点，无疑会促进该研究力量的快速发展，</w:t>
      </w:r>
      <w:r w:rsidR="006A15B1" w:rsidRPr="00E4460C">
        <w:rPr>
          <w:rFonts w:ascii="仿宋_GB2312" w:eastAsia="仿宋_GB2312" w:hint="eastAsia"/>
          <w:color w:val="000000"/>
          <w:sz w:val="28"/>
          <w:szCs w:val="28"/>
        </w:rPr>
        <w:t>提升我校财政学的研究水平和教学水平，促进经济学学科的发展。</w:t>
      </w:r>
    </w:p>
    <w:p w:rsidR="004929B9" w:rsidRPr="00E4460C" w:rsidRDefault="006A15B1"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另一方面，</w:t>
      </w:r>
      <w:r w:rsidR="004929B9" w:rsidRPr="00E4460C">
        <w:rPr>
          <w:rFonts w:ascii="仿宋_GB2312" w:eastAsia="仿宋_GB2312" w:hint="eastAsia"/>
          <w:color w:val="000000"/>
          <w:sz w:val="28"/>
          <w:szCs w:val="28"/>
        </w:rPr>
        <w:t>目前</w:t>
      </w:r>
      <w:r w:rsidRPr="00E4460C">
        <w:rPr>
          <w:rFonts w:ascii="仿宋_GB2312" w:eastAsia="仿宋_GB2312" w:hint="eastAsia"/>
          <w:color w:val="000000"/>
          <w:sz w:val="28"/>
          <w:szCs w:val="28"/>
        </w:rPr>
        <w:t>我校</w:t>
      </w:r>
      <w:r w:rsidR="004929B9" w:rsidRPr="00E4460C">
        <w:rPr>
          <w:rFonts w:ascii="仿宋_GB2312" w:eastAsia="仿宋_GB2312" w:hint="eastAsia"/>
          <w:color w:val="000000"/>
          <w:sz w:val="28"/>
          <w:szCs w:val="28"/>
        </w:rPr>
        <w:t>应用经济学一级学科尚不完善，仅有产业经济学和区域经济学，而</w:t>
      </w:r>
      <w:r w:rsidRPr="00E4460C">
        <w:rPr>
          <w:rFonts w:ascii="仿宋_GB2312" w:eastAsia="仿宋_GB2312" w:hint="eastAsia"/>
          <w:color w:val="000000"/>
          <w:sz w:val="28"/>
          <w:szCs w:val="28"/>
        </w:rPr>
        <w:t>通过设立财政学（含税收学）将能够完善我院应用经济学学科点的建设。而且</w:t>
      </w:r>
      <w:r w:rsidR="007F02B5" w:rsidRPr="00E4460C">
        <w:rPr>
          <w:rFonts w:ascii="仿宋_GB2312" w:eastAsia="仿宋_GB2312" w:hint="eastAsia"/>
          <w:color w:val="000000"/>
          <w:sz w:val="28"/>
          <w:szCs w:val="28"/>
        </w:rPr>
        <w:t>，</w:t>
      </w:r>
      <w:r w:rsidRPr="00E4460C">
        <w:rPr>
          <w:rFonts w:ascii="仿宋_GB2312" w:eastAsia="仿宋_GB2312" w:hint="eastAsia"/>
          <w:color w:val="000000"/>
          <w:sz w:val="28"/>
          <w:szCs w:val="28"/>
        </w:rPr>
        <w:t>财政学发展中鲜明的多学科交叉融合的趋势，使之</w:t>
      </w:r>
      <w:r w:rsidR="004929B9" w:rsidRPr="00E4460C">
        <w:rPr>
          <w:rFonts w:ascii="仿宋_GB2312" w:eastAsia="仿宋_GB2312" w:hint="eastAsia"/>
          <w:color w:val="000000"/>
          <w:sz w:val="28"/>
          <w:szCs w:val="28"/>
        </w:rPr>
        <w:t>能够整合管理学、法学等</w:t>
      </w:r>
      <w:r w:rsidR="007F02B5" w:rsidRPr="00E4460C">
        <w:rPr>
          <w:rFonts w:ascii="仿宋_GB2312" w:eastAsia="仿宋_GB2312" w:hint="eastAsia"/>
          <w:color w:val="000000"/>
          <w:sz w:val="28"/>
          <w:szCs w:val="28"/>
        </w:rPr>
        <w:t>多学科</w:t>
      </w:r>
      <w:r w:rsidR="004929B9" w:rsidRPr="00E4460C">
        <w:rPr>
          <w:rFonts w:ascii="仿宋_GB2312" w:eastAsia="仿宋_GB2312" w:hint="eastAsia"/>
          <w:color w:val="000000"/>
          <w:sz w:val="28"/>
          <w:szCs w:val="28"/>
        </w:rPr>
        <w:t>方面的科研力量，</w:t>
      </w:r>
      <w:r w:rsidRPr="00E4460C">
        <w:rPr>
          <w:rFonts w:ascii="仿宋_GB2312" w:eastAsia="仿宋_GB2312" w:hint="eastAsia"/>
          <w:color w:val="000000"/>
          <w:sz w:val="28"/>
          <w:szCs w:val="28"/>
        </w:rPr>
        <w:t>与</w:t>
      </w:r>
      <w:r w:rsidRPr="00E4460C">
        <w:rPr>
          <w:rFonts w:ascii="仿宋_GB2312" w:eastAsia="仿宋_GB2312" w:hint="eastAsia"/>
          <w:color w:val="000000"/>
          <w:sz w:val="28"/>
          <w:szCs w:val="28"/>
        </w:rPr>
        <w:lastRenderedPageBreak/>
        <w:t>我校突出经济学、管理学与法学等优势学科相结合的研究特色相一致。</w:t>
      </w:r>
    </w:p>
    <w:p w:rsidR="00990365" w:rsidRPr="00E4460C" w:rsidRDefault="00990365" w:rsidP="00E4460C">
      <w:pPr>
        <w:spacing w:line="500" w:lineRule="exact"/>
        <w:ind w:firstLineChars="200" w:firstLine="560"/>
        <w:rPr>
          <w:rFonts w:ascii="仿宋_GB2312" w:eastAsia="仿宋_GB2312"/>
          <w:color w:val="000000"/>
          <w:sz w:val="28"/>
          <w:szCs w:val="28"/>
        </w:rPr>
      </w:pPr>
      <w:r w:rsidRPr="00E4460C">
        <w:rPr>
          <w:rFonts w:ascii="仿宋_GB2312" w:eastAsia="仿宋_GB2312"/>
          <w:color w:val="000000"/>
          <w:sz w:val="28"/>
          <w:szCs w:val="28"/>
        </w:rPr>
        <w:t>（三）本单位设置该学科已具备的基础</w:t>
      </w:r>
    </w:p>
    <w:p w:rsidR="00D66958" w:rsidRPr="00E4460C" w:rsidRDefault="00D66958"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1. 拥有</w:t>
      </w:r>
      <w:r w:rsidR="007F02B5" w:rsidRPr="00E4460C">
        <w:rPr>
          <w:rFonts w:ascii="仿宋_GB2312" w:eastAsia="仿宋_GB2312" w:hint="eastAsia"/>
          <w:color w:val="000000"/>
          <w:sz w:val="28"/>
          <w:szCs w:val="28"/>
        </w:rPr>
        <w:t>较</w:t>
      </w:r>
      <w:r w:rsidRPr="00E4460C">
        <w:rPr>
          <w:rFonts w:ascii="仿宋_GB2312" w:eastAsia="仿宋_GB2312" w:hint="eastAsia"/>
          <w:color w:val="000000"/>
          <w:sz w:val="28"/>
          <w:szCs w:val="28"/>
        </w:rPr>
        <w:t>强实力的优秀</w:t>
      </w:r>
      <w:r w:rsidRPr="00E4460C">
        <w:rPr>
          <w:rFonts w:ascii="仿宋_GB2312" w:eastAsia="仿宋_GB2312"/>
          <w:color w:val="000000"/>
          <w:sz w:val="28"/>
          <w:szCs w:val="28"/>
        </w:rPr>
        <w:t>师资队伍</w:t>
      </w:r>
      <w:r w:rsidRPr="00E4460C">
        <w:rPr>
          <w:rFonts w:ascii="仿宋_GB2312" w:eastAsia="仿宋_GB2312" w:hint="eastAsia"/>
          <w:color w:val="000000"/>
          <w:sz w:val="28"/>
          <w:szCs w:val="28"/>
        </w:rPr>
        <w:t>。迄今为止，在财政学二级学科方面已经形成了一支具有经济学、管理学、法学等相关学科带头人和学历层次高、知识结构合理的具有较强实力的学术研究团队，含教授</w:t>
      </w:r>
      <w:r w:rsidR="00B82C8D" w:rsidRPr="00E4460C">
        <w:rPr>
          <w:rFonts w:ascii="仿宋_GB2312" w:eastAsia="仿宋_GB2312" w:hint="eastAsia"/>
          <w:color w:val="000000"/>
          <w:sz w:val="28"/>
          <w:szCs w:val="28"/>
        </w:rPr>
        <w:t>4</w:t>
      </w:r>
      <w:r w:rsidRPr="00E4460C">
        <w:rPr>
          <w:rFonts w:ascii="仿宋_GB2312" w:eastAsia="仿宋_GB2312"/>
          <w:color w:val="000000"/>
          <w:sz w:val="28"/>
          <w:szCs w:val="28"/>
        </w:rPr>
        <w:t>人、副教授4人，</w:t>
      </w:r>
      <w:r w:rsidRPr="00E4460C">
        <w:rPr>
          <w:rFonts w:ascii="仿宋_GB2312" w:eastAsia="仿宋_GB2312" w:hint="eastAsia"/>
          <w:color w:val="000000"/>
          <w:sz w:val="28"/>
          <w:szCs w:val="28"/>
        </w:rPr>
        <w:t>讲师1人，绝大部分</w:t>
      </w:r>
      <w:r w:rsidRPr="00E4460C">
        <w:rPr>
          <w:rFonts w:ascii="仿宋_GB2312" w:eastAsia="仿宋_GB2312"/>
          <w:color w:val="000000"/>
          <w:sz w:val="28"/>
          <w:szCs w:val="28"/>
        </w:rPr>
        <w:t>具有博士学位</w:t>
      </w:r>
      <w:r w:rsidR="00B82C8D" w:rsidRPr="00E4460C">
        <w:rPr>
          <w:rFonts w:ascii="仿宋_GB2312" w:eastAsia="仿宋_GB2312" w:hint="eastAsia"/>
          <w:color w:val="000000"/>
          <w:sz w:val="28"/>
          <w:szCs w:val="28"/>
        </w:rPr>
        <w:t>且博士后出站</w:t>
      </w:r>
      <w:r w:rsidRPr="00E4460C">
        <w:rPr>
          <w:rFonts w:ascii="仿宋_GB2312" w:eastAsia="仿宋_GB2312"/>
          <w:color w:val="000000"/>
          <w:sz w:val="28"/>
          <w:szCs w:val="28"/>
        </w:rPr>
        <w:t>，90%以上的教师有国外研究经历。</w:t>
      </w:r>
    </w:p>
    <w:p w:rsidR="00D66958" w:rsidRPr="00E4460C" w:rsidRDefault="00D66958" w:rsidP="00E4460C">
      <w:pPr>
        <w:spacing w:line="500" w:lineRule="exact"/>
        <w:ind w:firstLineChars="200" w:firstLine="560"/>
        <w:rPr>
          <w:rFonts w:ascii="仿宋_GB2312" w:eastAsia="仿宋_GB2312"/>
          <w:color w:val="000000"/>
          <w:sz w:val="28"/>
          <w:szCs w:val="28"/>
        </w:rPr>
      </w:pPr>
      <w:r w:rsidRPr="00E4460C">
        <w:rPr>
          <w:rFonts w:ascii="仿宋_GB2312" w:eastAsia="仿宋_GB2312"/>
          <w:color w:val="000000"/>
          <w:sz w:val="28"/>
          <w:szCs w:val="28"/>
        </w:rPr>
        <w:t>2</w:t>
      </w:r>
      <w:r w:rsidR="001342D0" w:rsidRPr="00E4460C">
        <w:rPr>
          <w:rFonts w:ascii="仿宋_GB2312" w:eastAsia="仿宋_GB2312"/>
          <w:color w:val="000000"/>
          <w:sz w:val="28"/>
          <w:szCs w:val="28"/>
        </w:rPr>
        <w:t>．科研项目与成果内容丰富。近</w:t>
      </w:r>
      <w:r w:rsidR="001342D0" w:rsidRPr="00E4460C">
        <w:rPr>
          <w:rFonts w:ascii="仿宋_GB2312" w:eastAsia="仿宋_GB2312" w:hint="eastAsia"/>
          <w:color w:val="000000"/>
          <w:sz w:val="28"/>
          <w:szCs w:val="28"/>
        </w:rPr>
        <w:t>几</w:t>
      </w:r>
      <w:r w:rsidRPr="00E4460C">
        <w:rPr>
          <w:rFonts w:ascii="仿宋_GB2312" w:eastAsia="仿宋_GB2312"/>
          <w:color w:val="000000"/>
          <w:sz w:val="28"/>
          <w:szCs w:val="28"/>
        </w:rPr>
        <w:t>年出版</w:t>
      </w:r>
      <w:r w:rsidR="001342D0" w:rsidRPr="00E4460C">
        <w:rPr>
          <w:rFonts w:ascii="仿宋_GB2312" w:eastAsia="仿宋_GB2312" w:hint="eastAsia"/>
          <w:color w:val="000000"/>
          <w:sz w:val="28"/>
          <w:szCs w:val="28"/>
        </w:rPr>
        <w:t>了</w:t>
      </w:r>
      <w:r w:rsidR="00B82C8D" w:rsidRPr="00E4460C">
        <w:rPr>
          <w:rFonts w:ascii="仿宋_GB2312" w:eastAsia="仿宋_GB2312" w:hint="eastAsia"/>
          <w:color w:val="000000"/>
          <w:sz w:val="28"/>
          <w:szCs w:val="28"/>
        </w:rPr>
        <w:t>多部</w:t>
      </w:r>
      <w:r w:rsidRPr="00E4460C">
        <w:rPr>
          <w:rFonts w:ascii="仿宋_GB2312" w:eastAsia="仿宋_GB2312"/>
          <w:color w:val="000000"/>
          <w:sz w:val="28"/>
          <w:szCs w:val="28"/>
        </w:rPr>
        <w:t>专著</w:t>
      </w:r>
      <w:r w:rsidR="00B82C8D" w:rsidRPr="00E4460C">
        <w:rPr>
          <w:rFonts w:ascii="仿宋_GB2312" w:eastAsia="仿宋_GB2312" w:hint="eastAsia"/>
          <w:color w:val="000000"/>
          <w:sz w:val="28"/>
          <w:szCs w:val="28"/>
        </w:rPr>
        <w:t>或译著，</w:t>
      </w:r>
      <w:r w:rsidRPr="00E4460C">
        <w:rPr>
          <w:rFonts w:ascii="仿宋_GB2312" w:eastAsia="仿宋_GB2312"/>
          <w:color w:val="000000"/>
          <w:sz w:val="28"/>
          <w:szCs w:val="28"/>
        </w:rPr>
        <w:t>在国外期刊或国际会议上发表</w:t>
      </w:r>
      <w:r w:rsidR="001342D0" w:rsidRPr="00E4460C">
        <w:rPr>
          <w:rFonts w:ascii="仿宋_GB2312" w:eastAsia="仿宋_GB2312" w:hint="eastAsia"/>
          <w:color w:val="000000"/>
          <w:sz w:val="28"/>
          <w:szCs w:val="28"/>
        </w:rPr>
        <w:t>了</w:t>
      </w:r>
      <w:r w:rsidRPr="00E4460C">
        <w:rPr>
          <w:rFonts w:ascii="仿宋_GB2312" w:eastAsia="仿宋_GB2312"/>
          <w:color w:val="000000"/>
          <w:sz w:val="28"/>
          <w:szCs w:val="28"/>
        </w:rPr>
        <w:t>多篇高水平论文，</w:t>
      </w:r>
      <w:r w:rsidR="00B82C8D" w:rsidRPr="00E4460C">
        <w:rPr>
          <w:rFonts w:ascii="仿宋_GB2312" w:eastAsia="仿宋_GB2312" w:hint="eastAsia"/>
          <w:color w:val="000000"/>
          <w:sz w:val="28"/>
          <w:szCs w:val="28"/>
        </w:rPr>
        <w:t>在国内权威和核心杂志发表了几十篇论文且</w:t>
      </w:r>
      <w:r w:rsidRPr="00E4460C">
        <w:rPr>
          <w:rFonts w:ascii="仿宋_GB2312" w:eastAsia="仿宋_GB2312"/>
          <w:color w:val="000000"/>
          <w:sz w:val="28"/>
          <w:szCs w:val="28"/>
        </w:rPr>
        <w:t>多篇被</w:t>
      </w:r>
      <w:r w:rsidR="00B82C8D" w:rsidRPr="00E4460C">
        <w:rPr>
          <w:rFonts w:ascii="仿宋_GB2312" w:eastAsia="仿宋_GB2312" w:hint="eastAsia"/>
          <w:color w:val="000000"/>
          <w:sz w:val="28"/>
          <w:szCs w:val="28"/>
        </w:rPr>
        <w:t>新华文摘或</w:t>
      </w:r>
      <w:r w:rsidR="00B82C8D" w:rsidRPr="00E4460C">
        <w:rPr>
          <w:rFonts w:ascii="仿宋_GB2312" w:eastAsia="仿宋_GB2312"/>
          <w:color w:val="000000"/>
          <w:sz w:val="28"/>
          <w:szCs w:val="28"/>
        </w:rPr>
        <w:t>中国人民大学复印报刊资料转摘；</w:t>
      </w:r>
      <w:r w:rsidR="00B82C8D" w:rsidRPr="00E4460C">
        <w:rPr>
          <w:rFonts w:ascii="仿宋_GB2312" w:eastAsia="仿宋_GB2312" w:hint="eastAsia"/>
          <w:color w:val="000000"/>
          <w:sz w:val="28"/>
          <w:szCs w:val="28"/>
        </w:rPr>
        <w:t>主持或参与</w:t>
      </w:r>
      <w:r w:rsidR="001342D0" w:rsidRPr="00E4460C">
        <w:rPr>
          <w:rFonts w:ascii="仿宋_GB2312" w:eastAsia="仿宋_GB2312" w:hint="eastAsia"/>
          <w:color w:val="000000"/>
          <w:sz w:val="28"/>
          <w:szCs w:val="28"/>
        </w:rPr>
        <w:t>了</w:t>
      </w:r>
      <w:r w:rsidR="00B82C8D" w:rsidRPr="00E4460C">
        <w:rPr>
          <w:rFonts w:ascii="仿宋_GB2312" w:eastAsia="仿宋_GB2312" w:hint="eastAsia"/>
          <w:color w:val="000000"/>
          <w:sz w:val="28"/>
          <w:szCs w:val="28"/>
        </w:rPr>
        <w:t>多项</w:t>
      </w:r>
      <w:r w:rsidRPr="00E4460C">
        <w:rPr>
          <w:rFonts w:ascii="仿宋_GB2312" w:eastAsia="仿宋_GB2312"/>
          <w:color w:val="000000"/>
          <w:sz w:val="28"/>
          <w:szCs w:val="28"/>
        </w:rPr>
        <w:t>国家级</w:t>
      </w:r>
      <w:r w:rsidR="00B82C8D" w:rsidRPr="00E4460C">
        <w:rPr>
          <w:rFonts w:ascii="仿宋_GB2312" w:eastAsia="仿宋_GB2312" w:hint="eastAsia"/>
          <w:color w:val="000000"/>
          <w:sz w:val="28"/>
          <w:szCs w:val="28"/>
        </w:rPr>
        <w:t>、</w:t>
      </w:r>
      <w:r w:rsidRPr="00E4460C">
        <w:rPr>
          <w:rFonts w:ascii="仿宋_GB2312" w:eastAsia="仿宋_GB2312"/>
          <w:color w:val="000000"/>
          <w:sz w:val="28"/>
          <w:szCs w:val="28"/>
        </w:rPr>
        <w:t>省部级</w:t>
      </w:r>
      <w:r w:rsidR="001342D0" w:rsidRPr="00E4460C">
        <w:rPr>
          <w:rFonts w:ascii="仿宋_GB2312" w:eastAsia="仿宋_GB2312" w:hint="eastAsia"/>
          <w:color w:val="000000"/>
          <w:sz w:val="28"/>
          <w:szCs w:val="28"/>
        </w:rPr>
        <w:t>课题</w:t>
      </w:r>
      <w:r w:rsidRPr="00E4460C">
        <w:rPr>
          <w:rFonts w:ascii="仿宋_GB2312" w:eastAsia="仿宋_GB2312"/>
          <w:color w:val="000000"/>
          <w:sz w:val="28"/>
          <w:szCs w:val="28"/>
        </w:rPr>
        <w:t>项目</w:t>
      </w:r>
      <w:r w:rsidR="00B82C8D" w:rsidRPr="00E4460C">
        <w:rPr>
          <w:rFonts w:ascii="仿宋_GB2312" w:eastAsia="仿宋_GB2312" w:hint="eastAsia"/>
          <w:color w:val="000000"/>
          <w:sz w:val="28"/>
          <w:szCs w:val="28"/>
        </w:rPr>
        <w:t>以及多项</w:t>
      </w:r>
      <w:r w:rsidRPr="00E4460C">
        <w:rPr>
          <w:rFonts w:ascii="仿宋_GB2312" w:eastAsia="仿宋_GB2312" w:hint="eastAsia"/>
          <w:color w:val="000000"/>
          <w:sz w:val="28"/>
          <w:szCs w:val="28"/>
        </w:rPr>
        <w:t>横向课题</w:t>
      </w:r>
      <w:r w:rsidR="00B82C8D" w:rsidRPr="00E4460C">
        <w:rPr>
          <w:rFonts w:ascii="仿宋_GB2312" w:eastAsia="仿宋_GB2312" w:hint="eastAsia"/>
          <w:color w:val="000000"/>
          <w:sz w:val="28"/>
          <w:szCs w:val="28"/>
        </w:rPr>
        <w:t>的研究</w:t>
      </w:r>
      <w:r w:rsidRPr="00E4460C">
        <w:rPr>
          <w:rFonts w:ascii="仿宋_GB2312" w:eastAsia="仿宋_GB2312" w:hint="eastAsia"/>
          <w:color w:val="000000"/>
          <w:sz w:val="28"/>
          <w:szCs w:val="28"/>
        </w:rPr>
        <w:t>，在理论研究和企业实践中均取得较大成绩，得到学术界的广泛认可。</w:t>
      </w:r>
    </w:p>
    <w:p w:rsidR="00D66958" w:rsidRPr="00E4460C" w:rsidRDefault="00D66958"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3. 人才培养成果显著。本院应用经济学专业虽然起步较晚，但发展速度较快，取得了较好的人才培养效果。采取校内导师个人负责制和导师组集体培养相结合的培养方式，指导研究生的课程学习、业务实习、社会调查和论文写作。要求研究生刻苦攻读、勤于思考、认真钻研，注重理论联系实际，提高分析问题和解决问题的能力、以及创新能力和语言文字的表达能力。研究生累计发表论文100余篇，主持或参与各级项目30多项，毕业后就职于金融机构、政府部门、大型企事业单位等，少数学生考取美国或国内知名高校继续攻读博士学位。</w:t>
      </w:r>
    </w:p>
    <w:p w:rsidR="00990365" w:rsidRPr="00E4460C" w:rsidRDefault="00990365" w:rsidP="00E4460C">
      <w:pPr>
        <w:spacing w:line="500" w:lineRule="exact"/>
        <w:ind w:firstLineChars="200" w:firstLine="560"/>
        <w:rPr>
          <w:rFonts w:ascii="仿宋_GB2312" w:eastAsia="仿宋_GB2312"/>
          <w:color w:val="000000"/>
          <w:sz w:val="28"/>
          <w:szCs w:val="28"/>
        </w:rPr>
      </w:pPr>
      <w:r w:rsidRPr="00E4460C">
        <w:rPr>
          <w:rFonts w:ascii="仿宋_GB2312" w:eastAsia="仿宋_GB2312"/>
          <w:color w:val="000000"/>
          <w:sz w:val="28"/>
          <w:szCs w:val="28"/>
        </w:rPr>
        <w:t>（四）该学科的发展前景</w:t>
      </w:r>
    </w:p>
    <w:p w:rsidR="00AF700C" w:rsidRPr="00E4460C" w:rsidRDefault="00AF700C" w:rsidP="00E4460C">
      <w:pPr>
        <w:spacing w:line="500" w:lineRule="exact"/>
        <w:ind w:firstLineChars="200" w:firstLine="560"/>
        <w:rPr>
          <w:rFonts w:ascii="仿宋_GB2312" w:eastAsia="仿宋_GB2312"/>
          <w:color w:val="000000"/>
          <w:sz w:val="28"/>
          <w:szCs w:val="28"/>
        </w:rPr>
      </w:pPr>
      <w:r w:rsidRPr="00E4460C">
        <w:rPr>
          <w:rFonts w:ascii="仿宋_GB2312" w:eastAsia="仿宋_GB2312" w:hint="eastAsia"/>
          <w:color w:val="000000"/>
          <w:sz w:val="28"/>
          <w:szCs w:val="28"/>
        </w:rPr>
        <w:t>从世界范围内来看，财政学这一历经二百多年发展的学科依旧充满活力，其研究成果在各国经济发展中发挥着重要作用，源于财政学是财政理论和财政实践共同推动的结果</w:t>
      </w:r>
      <w:r w:rsidR="00D73527" w:rsidRPr="00E4460C">
        <w:rPr>
          <w:rFonts w:ascii="仿宋_GB2312" w:eastAsia="仿宋_GB2312" w:hint="eastAsia"/>
          <w:color w:val="000000"/>
          <w:sz w:val="28"/>
          <w:szCs w:val="28"/>
        </w:rPr>
        <w:t>。</w:t>
      </w:r>
      <w:r w:rsidR="0076658D" w:rsidRPr="00E4460C">
        <w:rPr>
          <w:rFonts w:ascii="仿宋_GB2312" w:eastAsia="仿宋_GB2312" w:hint="eastAsia"/>
          <w:color w:val="000000"/>
          <w:sz w:val="28"/>
          <w:szCs w:val="28"/>
        </w:rPr>
        <w:t>就我国而言，在我国从计划</w:t>
      </w:r>
      <w:r w:rsidR="0076658D" w:rsidRPr="00E4460C">
        <w:rPr>
          <w:rFonts w:ascii="仿宋_GB2312" w:eastAsia="仿宋_GB2312" w:hint="eastAsia"/>
          <w:color w:val="000000"/>
          <w:sz w:val="28"/>
          <w:szCs w:val="28"/>
        </w:rPr>
        <w:lastRenderedPageBreak/>
        <w:t>经济转向市场经济后，财政学的地位与作用不是在降低，而是得到了进一步的升华，因为在</w:t>
      </w:r>
      <w:r w:rsidR="00D73527" w:rsidRPr="00E4460C">
        <w:rPr>
          <w:rFonts w:ascii="仿宋_GB2312" w:eastAsia="仿宋_GB2312" w:hint="eastAsia"/>
          <w:color w:val="000000"/>
          <w:sz w:val="28"/>
          <w:szCs w:val="28"/>
        </w:rPr>
        <w:t>我国</w:t>
      </w:r>
      <w:r w:rsidR="0076658D" w:rsidRPr="00E4460C">
        <w:rPr>
          <w:rFonts w:ascii="仿宋_GB2312" w:eastAsia="仿宋_GB2312" w:hint="eastAsia"/>
          <w:color w:val="000000"/>
          <w:sz w:val="28"/>
          <w:szCs w:val="28"/>
        </w:rPr>
        <w:t>以政府为主导的经济改革过程中，</w:t>
      </w:r>
      <w:r w:rsidR="00D73527" w:rsidRPr="00E4460C">
        <w:rPr>
          <w:rFonts w:ascii="仿宋_GB2312" w:eastAsia="仿宋_GB2312" w:hint="eastAsia"/>
          <w:color w:val="000000"/>
          <w:sz w:val="28"/>
          <w:szCs w:val="28"/>
        </w:rPr>
        <w:t>所出现的许多社会与经济热点问题，诸如地方政府债务负担沉重，电子商务中的税负公平等等都需要</w:t>
      </w:r>
      <w:r w:rsidR="001827E4" w:rsidRPr="00E4460C">
        <w:rPr>
          <w:rFonts w:ascii="仿宋_GB2312" w:eastAsia="仿宋_GB2312" w:hint="eastAsia"/>
          <w:color w:val="000000"/>
          <w:sz w:val="28"/>
          <w:szCs w:val="28"/>
        </w:rPr>
        <w:t>基于</w:t>
      </w:r>
      <w:r w:rsidR="00D73527" w:rsidRPr="00E4460C">
        <w:rPr>
          <w:rFonts w:ascii="仿宋_GB2312" w:eastAsia="仿宋_GB2312" w:hint="eastAsia"/>
          <w:color w:val="000000"/>
          <w:sz w:val="28"/>
          <w:szCs w:val="28"/>
        </w:rPr>
        <w:t>财政学研究进行深入地分析，解释和解决。总之，随着社会经济问题的不断变化，财政理论也将不断变迁而趋于多元化，从而为财政学的发展提供更加广阔的空间。</w:t>
      </w:r>
    </w:p>
    <w:p w:rsidR="00990365" w:rsidRPr="00BE28B4" w:rsidRDefault="00990365" w:rsidP="00E4460C">
      <w:pPr>
        <w:ind w:firstLineChars="200" w:firstLine="602"/>
        <w:rPr>
          <w:rFonts w:eastAsia="仿宋_GB2312"/>
          <w:b/>
          <w:bCs/>
          <w:color w:val="000000"/>
          <w:sz w:val="30"/>
          <w:szCs w:val="30"/>
        </w:rPr>
      </w:pPr>
      <w:r w:rsidRPr="00BE28B4">
        <w:rPr>
          <w:rFonts w:eastAsia="仿宋_GB2312"/>
          <w:b/>
          <w:bCs/>
          <w:color w:val="000000"/>
          <w:sz w:val="30"/>
          <w:szCs w:val="30"/>
        </w:rPr>
        <w:t>三、该学科的人才培养方案</w:t>
      </w:r>
    </w:p>
    <w:p w:rsidR="00990365" w:rsidRPr="00E4460C" w:rsidRDefault="00990365"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hint="eastAsia"/>
          <w:color w:val="000000"/>
          <w:sz w:val="28"/>
          <w:szCs w:val="28"/>
        </w:rPr>
        <w:t>（一）培养目标</w:t>
      </w:r>
    </w:p>
    <w:p w:rsidR="00D73527" w:rsidRPr="00E4460C" w:rsidRDefault="008C766A"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cs="AdobeHeitiStd-Regular" w:hint="eastAsia"/>
          <w:color w:val="181818"/>
          <w:sz w:val="28"/>
          <w:szCs w:val="28"/>
        </w:rPr>
        <w:t>掌握马克思主义的基本理论和专业知识</w:t>
      </w:r>
      <w:r w:rsidR="001827E4" w:rsidRPr="00E4460C">
        <w:rPr>
          <w:rFonts w:ascii="仿宋_GB2312" w:eastAsia="仿宋_GB2312" w:cs="AdobeHeitiStd-Regular" w:hint="eastAsia"/>
          <w:color w:val="181818"/>
          <w:sz w:val="28"/>
          <w:szCs w:val="28"/>
        </w:rPr>
        <w:t>，</w:t>
      </w:r>
      <w:r w:rsidRPr="00E4460C">
        <w:rPr>
          <w:rFonts w:ascii="仿宋_GB2312" w:eastAsia="仿宋_GB2312" w:cs="AdobeHeitiStd-Regular" w:hint="eastAsia"/>
          <w:color w:val="181818"/>
          <w:sz w:val="28"/>
          <w:szCs w:val="28"/>
        </w:rPr>
        <w:t>热爱祖国，具有良好的思想道德品质、较强的事业心、创新能力和献身精神，愿为社会主义现代化建设事业服务的高层次、高素质的专门人才。系统地掌握财政税收的理论和专业知识，熟悉和掌握相关财税政策的应用模式和分析工具，熟悉财经管理理论与方法，熟知财政学学科领域的发展动向，了解财政税收政策、法规和制度的变化；既具有从事科学研究的能力，也具有出色政策分析能力以及管理能力；能够成为财政税收理论研究与教学，财税部门和审计部门，法律与会计事务所等公司、企业税收筹划及相关领域实际工作的高级专门人才，在科学研究和业务管理上做出创新性成果。</w:t>
      </w:r>
      <w:r w:rsidR="00E0412B" w:rsidRPr="00E4460C">
        <w:rPr>
          <w:rFonts w:ascii="仿宋_GB2312" w:eastAsia="仿宋_GB2312" w:cs="AdobeHeitiStd-Regular" w:hint="eastAsia"/>
          <w:color w:val="181818"/>
          <w:sz w:val="28"/>
          <w:szCs w:val="28"/>
        </w:rPr>
        <w:t>熟练掌握一门外国语，能阅读本学科外文文献，具有一定的国际学术交流能力；毕业后能胜任政府部门、企事业单位财税管理和实务工作，或从事高校与科研机构的教学和科研工作。</w:t>
      </w:r>
    </w:p>
    <w:p w:rsidR="00990365" w:rsidRPr="00E4460C" w:rsidRDefault="00990365"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hint="eastAsia"/>
          <w:color w:val="000000"/>
          <w:sz w:val="28"/>
          <w:szCs w:val="28"/>
        </w:rPr>
        <w:t>（二）生源要求和选拔方式</w:t>
      </w:r>
    </w:p>
    <w:p w:rsidR="00D73527" w:rsidRPr="00E4460C" w:rsidRDefault="007B3736"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该学科作为经济学的一个分支学科，要求学习者应具备一定的经济学理论基础，学习过政治经济学、西方经济学以及财政学原理等基础课程，具有基本的经济学逻辑思维能力和专业论文撰写能力。</w:t>
      </w:r>
    </w:p>
    <w:p w:rsidR="007B3736" w:rsidRPr="00E4460C" w:rsidRDefault="007B3736"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选拔方式同我校其他学科硕士生的选拔。</w:t>
      </w:r>
    </w:p>
    <w:p w:rsidR="00990365" w:rsidRPr="00E4460C" w:rsidRDefault="00990365" w:rsidP="00E4460C">
      <w:pPr>
        <w:spacing w:line="500" w:lineRule="exact"/>
        <w:ind w:firstLineChars="200" w:firstLine="560"/>
        <w:rPr>
          <w:rFonts w:ascii="仿宋_GB2312" w:eastAsia="仿宋_GB2312" w:hint="eastAsia"/>
          <w:color w:val="000000"/>
          <w:sz w:val="28"/>
          <w:szCs w:val="28"/>
        </w:rPr>
      </w:pPr>
      <w:r w:rsidRPr="00E4460C">
        <w:rPr>
          <w:rFonts w:ascii="仿宋_GB2312" w:eastAsia="仿宋_GB2312" w:hint="eastAsia"/>
          <w:color w:val="000000"/>
          <w:sz w:val="28"/>
          <w:szCs w:val="28"/>
        </w:rPr>
        <w:t>（三）课程体系的设计方案及依据</w:t>
      </w:r>
    </w:p>
    <w:p w:rsidR="00D73527" w:rsidRPr="00E4460C" w:rsidRDefault="00501B14"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该学科</w:t>
      </w:r>
      <w:r w:rsidR="00B71D01" w:rsidRPr="00E4460C">
        <w:rPr>
          <w:rFonts w:ascii="仿宋_GB2312" w:eastAsia="仿宋_GB2312" w:cs="AdobeHeitiStd-Regular" w:hint="eastAsia"/>
          <w:color w:val="181818"/>
          <w:sz w:val="28"/>
          <w:szCs w:val="28"/>
        </w:rPr>
        <w:t>课程体系将依托于我校及我院已经开设的</w:t>
      </w:r>
      <w:r w:rsidRPr="00E4460C">
        <w:rPr>
          <w:rFonts w:ascii="仿宋_GB2312" w:eastAsia="仿宋_GB2312" w:cs="AdobeHeitiStd-Regular" w:hint="eastAsia"/>
          <w:color w:val="181818"/>
          <w:sz w:val="28"/>
          <w:szCs w:val="28"/>
        </w:rPr>
        <w:t>经济学、管理学</w:t>
      </w:r>
      <w:r w:rsidRPr="00E4460C">
        <w:rPr>
          <w:rFonts w:ascii="仿宋_GB2312" w:eastAsia="仿宋_GB2312" w:cs="AdobeHeitiStd-Regular" w:hint="eastAsia"/>
          <w:color w:val="181818"/>
          <w:sz w:val="28"/>
          <w:szCs w:val="28"/>
        </w:rPr>
        <w:lastRenderedPageBreak/>
        <w:t>和法学的硕士生</w:t>
      </w:r>
      <w:r w:rsidR="00B71D01" w:rsidRPr="00E4460C">
        <w:rPr>
          <w:rFonts w:ascii="仿宋_GB2312" w:eastAsia="仿宋_GB2312" w:cs="AdobeHeitiStd-Regular" w:hint="eastAsia"/>
          <w:color w:val="181818"/>
          <w:sz w:val="28"/>
          <w:szCs w:val="28"/>
        </w:rPr>
        <w:t>课程，并补充财政学专业的主干课程，形成具有经济学、管理学、法学</w:t>
      </w:r>
      <w:r w:rsidR="007B3736" w:rsidRPr="00E4460C">
        <w:rPr>
          <w:rFonts w:ascii="仿宋_GB2312" w:eastAsia="仿宋_GB2312" w:cs="AdobeHeitiStd-Regular" w:hint="eastAsia"/>
          <w:color w:val="181818"/>
          <w:sz w:val="28"/>
          <w:szCs w:val="28"/>
        </w:rPr>
        <w:t>相</w:t>
      </w:r>
      <w:r w:rsidR="00B71D01" w:rsidRPr="00E4460C">
        <w:rPr>
          <w:rFonts w:ascii="仿宋_GB2312" w:eastAsia="仿宋_GB2312" w:cs="AdobeHeitiStd-Regular" w:hint="eastAsia"/>
          <w:color w:val="181818"/>
          <w:sz w:val="28"/>
          <w:szCs w:val="28"/>
        </w:rPr>
        <w:t>结合的特色课程体系。</w:t>
      </w:r>
      <w:r w:rsidRPr="00E4460C">
        <w:rPr>
          <w:rFonts w:ascii="仿宋_GB2312" w:eastAsia="仿宋_GB2312" w:cs="AdobeHeitiStd-Regular" w:hint="eastAsia"/>
          <w:color w:val="181818"/>
          <w:sz w:val="28"/>
          <w:szCs w:val="28"/>
        </w:rPr>
        <w:t>具体</w:t>
      </w:r>
      <w:r w:rsidR="00CC1F76" w:rsidRPr="00E4460C">
        <w:rPr>
          <w:rFonts w:ascii="仿宋_GB2312" w:eastAsia="仿宋_GB2312" w:cs="AdobeHeitiStd-Regular" w:hint="eastAsia"/>
          <w:color w:val="181818"/>
          <w:sz w:val="28"/>
          <w:szCs w:val="28"/>
        </w:rPr>
        <w:t>设计方案</w:t>
      </w:r>
      <w:r w:rsidRPr="00E4460C">
        <w:rPr>
          <w:rFonts w:ascii="仿宋_GB2312" w:eastAsia="仿宋_GB2312" w:cs="AdobeHeitiStd-Regular" w:hint="eastAsia"/>
          <w:color w:val="181818"/>
          <w:sz w:val="28"/>
          <w:szCs w:val="28"/>
        </w:rPr>
        <w:t>如下：</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（一）公共学位课</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由马列经典著作选读课、第一外语和方法论课程组成。共10学分。</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1、马列经典著作选读（包括科学社会主义理论与实践2学分、马克思主义理论2学分），周4课时，共4学分。由研究生院与开课学院组织开设。</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2、第一外语，实行分级教学和分阶段教学。周4课时，计4学分。具体方案由研究生院和外语学院制定。</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3、方法论课程，周2课时，2学分，由商学院自行开设。</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（二）专业学位课</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由专业基础课、专业主干课和拓展类课程组成。</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专业学位课设置4门，每门课程周3课时，各计3学分，共12学分。</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（三）非学位课</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1、限选课是本学科专业研究生知识结构和能力要求中的重要组成部分，是学科专业在研究方向上知识或能力的深化、扩展与补充。</w:t>
      </w:r>
    </w:p>
    <w:p w:rsidR="00B82C8D"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2、任选课是研究生知识的延伸、补充、拓展和能力训练的途径之一，为研究生结合自身专业基础、学习兴趣和未来取向等特点进行个性化发展提供多样化的选择。</w:t>
      </w:r>
    </w:p>
    <w:p w:rsidR="00C12CDF" w:rsidRPr="00E4460C" w:rsidRDefault="00B82C8D" w:rsidP="00E4460C">
      <w:pPr>
        <w:spacing w:line="500" w:lineRule="exact"/>
        <w:ind w:firstLineChars="200" w:firstLine="560"/>
        <w:rPr>
          <w:rFonts w:ascii="仿宋_GB2312" w:eastAsia="仿宋_GB2312" w:cs="AdobeHeitiStd-Regular" w:hint="eastAsia"/>
          <w:color w:val="181818"/>
          <w:sz w:val="28"/>
          <w:szCs w:val="28"/>
        </w:rPr>
      </w:pPr>
      <w:r w:rsidRPr="00E4460C">
        <w:rPr>
          <w:rFonts w:ascii="仿宋_GB2312" w:eastAsia="仿宋_GB2312" w:cs="AdobeHeitiStd-Regular" w:hint="eastAsia"/>
          <w:color w:val="181818"/>
          <w:sz w:val="28"/>
          <w:szCs w:val="28"/>
        </w:rPr>
        <w:t>上述课程一般应由12门（含）以上课程群组成，其中包括本专业限选课和公共选修课两类。每门课程周2课时，各计2学分。</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838"/>
        <w:gridCol w:w="1233"/>
        <w:gridCol w:w="1603"/>
        <w:gridCol w:w="709"/>
        <w:gridCol w:w="623"/>
        <w:gridCol w:w="721"/>
        <w:gridCol w:w="990"/>
        <w:gridCol w:w="764"/>
        <w:gridCol w:w="1223"/>
      </w:tblGrid>
      <w:tr w:rsidR="00B82C8D" w:rsidRPr="003A21F5" w:rsidTr="00E4460C">
        <w:trPr>
          <w:trHeight w:val="523"/>
          <w:jc w:val="center"/>
        </w:trPr>
        <w:tc>
          <w:tcPr>
            <w:tcW w:w="1496" w:type="dxa"/>
            <w:gridSpan w:val="2"/>
            <w:vAlign w:val="center"/>
          </w:tcPr>
          <w:p w:rsidR="00B82C8D" w:rsidRPr="00E4460C" w:rsidRDefault="00B82C8D" w:rsidP="00B82C8D">
            <w:pPr>
              <w:jc w:val="center"/>
              <w:rPr>
                <w:rFonts w:ascii="华文楷体" w:eastAsia="华文楷体" w:hAnsi="华文楷体"/>
                <w:szCs w:val="21"/>
              </w:rPr>
            </w:pPr>
            <w:r w:rsidRPr="00E4460C">
              <w:rPr>
                <w:rFonts w:ascii="华文楷体" w:eastAsia="华文楷体" w:hAnsi="华文楷体" w:hint="eastAsia"/>
                <w:szCs w:val="21"/>
              </w:rPr>
              <w:t>类 别</w:t>
            </w:r>
          </w:p>
        </w:tc>
        <w:tc>
          <w:tcPr>
            <w:tcW w:w="1233" w:type="dxa"/>
            <w:vAlign w:val="center"/>
          </w:tcPr>
          <w:p w:rsidR="00B82C8D" w:rsidRPr="00E4460C" w:rsidRDefault="00B82C8D" w:rsidP="00B82C8D">
            <w:pPr>
              <w:ind w:left="-57" w:right="-57"/>
              <w:jc w:val="center"/>
              <w:rPr>
                <w:rFonts w:ascii="华文楷体" w:eastAsia="华文楷体" w:hAnsi="华文楷体"/>
                <w:szCs w:val="21"/>
              </w:rPr>
            </w:pPr>
            <w:r w:rsidRPr="00E4460C">
              <w:rPr>
                <w:rFonts w:ascii="华文楷体" w:eastAsia="华文楷体" w:hAnsi="华文楷体" w:hint="eastAsia"/>
                <w:szCs w:val="21"/>
              </w:rPr>
              <w:t>课程</w:t>
            </w:r>
          </w:p>
          <w:p w:rsidR="00B82C8D" w:rsidRPr="00E4460C" w:rsidRDefault="00B82C8D" w:rsidP="00B82C8D">
            <w:pPr>
              <w:ind w:left="-57" w:right="-57"/>
              <w:jc w:val="center"/>
              <w:rPr>
                <w:rFonts w:ascii="华文楷体" w:eastAsia="华文楷体" w:hAnsi="华文楷体"/>
                <w:szCs w:val="21"/>
              </w:rPr>
            </w:pPr>
            <w:r w:rsidRPr="00E4460C">
              <w:rPr>
                <w:rFonts w:ascii="华文楷体" w:eastAsia="华文楷体" w:hAnsi="华文楷体" w:hint="eastAsia"/>
                <w:szCs w:val="21"/>
              </w:rPr>
              <w:t>名称</w:t>
            </w:r>
          </w:p>
        </w:tc>
        <w:tc>
          <w:tcPr>
            <w:tcW w:w="1603" w:type="dxa"/>
            <w:vAlign w:val="center"/>
          </w:tcPr>
          <w:p w:rsidR="00B82C8D" w:rsidRPr="00E4460C" w:rsidRDefault="00B82C8D" w:rsidP="00B82C8D">
            <w:pPr>
              <w:jc w:val="center"/>
              <w:rPr>
                <w:rFonts w:ascii="华文楷体" w:eastAsia="华文楷体" w:hAnsi="华文楷体"/>
                <w:szCs w:val="21"/>
              </w:rPr>
            </w:pPr>
            <w:r w:rsidRPr="00E4460C">
              <w:rPr>
                <w:rFonts w:ascii="华文楷体" w:eastAsia="华文楷体" w:hAnsi="华文楷体" w:hint="eastAsia"/>
                <w:szCs w:val="21"/>
              </w:rPr>
              <w:t>课程门数</w:t>
            </w:r>
          </w:p>
        </w:tc>
        <w:tc>
          <w:tcPr>
            <w:tcW w:w="709" w:type="dxa"/>
            <w:vAlign w:val="center"/>
          </w:tcPr>
          <w:p w:rsidR="00B82C8D" w:rsidRPr="00E4460C" w:rsidRDefault="00B82C8D" w:rsidP="00B82C8D">
            <w:pPr>
              <w:ind w:left="-57" w:right="-57"/>
              <w:rPr>
                <w:rFonts w:ascii="华文楷体" w:eastAsia="华文楷体" w:hAnsi="华文楷体"/>
                <w:szCs w:val="21"/>
              </w:rPr>
            </w:pPr>
            <w:r w:rsidRPr="00E4460C">
              <w:rPr>
                <w:rFonts w:ascii="华文楷体" w:eastAsia="华文楷体" w:hAnsi="华文楷体" w:hint="eastAsia"/>
                <w:szCs w:val="21"/>
              </w:rPr>
              <w:t>学分</w:t>
            </w:r>
          </w:p>
        </w:tc>
        <w:tc>
          <w:tcPr>
            <w:tcW w:w="623" w:type="dxa"/>
            <w:vAlign w:val="center"/>
          </w:tcPr>
          <w:p w:rsidR="00B82C8D" w:rsidRPr="00E4460C" w:rsidRDefault="00B82C8D" w:rsidP="00B82C8D">
            <w:pPr>
              <w:ind w:left="-57" w:right="-57"/>
              <w:rPr>
                <w:rFonts w:ascii="华文楷体" w:eastAsia="华文楷体" w:hAnsi="华文楷体"/>
                <w:szCs w:val="21"/>
              </w:rPr>
            </w:pPr>
            <w:r w:rsidRPr="00E4460C">
              <w:rPr>
                <w:rFonts w:ascii="华文楷体" w:eastAsia="华文楷体" w:hAnsi="华文楷体" w:hint="eastAsia"/>
                <w:szCs w:val="21"/>
              </w:rPr>
              <w:t>学时</w:t>
            </w:r>
          </w:p>
        </w:tc>
        <w:tc>
          <w:tcPr>
            <w:tcW w:w="721" w:type="dxa"/>
            <w:vAlign w:val="center"/>
          </w:tcPr>
          <w:p w:rsidR="00B82C8D" w:rsidRPr="00E4460C" w:rsidRDefault="00B82C8D" w:rsidP="00B82C8D">
            <w:pPr>
              <w:ind w:left="-57" w:right="-57"/>
              <w:jc w:val="center"/>
              <w:rPr>
                <w:rFonts w:ascii="华文楷体" w:eastAsia="华文楷体" w:hAnsi="华文楷体"/>
                <w:szCs w:val="21"/>
              </w:rPr>
            </w:pPr>
            <w:r w:rsidRPr="00E4460C">
              <w:rPr>
                <w:rFonts w:ascii="华文楷体" w:eastAsia="华文楷体" w:hAnsi="华文楷体" w:hint="eastAsia"/>
                <w:szCs w:val="21"/>
              </w:rPr>
              <w:t>开课</w:t>
            </w:r>
          </w:p>
          <w:p w:rsidR="00B82C8D" w:rsidRPr="00E4460C" w:rsidRDefault="00B82C8D" w:rsidP="00B82C8D">
            <w:pPr>
              <w:ind w:left="-57" w:right="-57"/>
              <w:jc w:val="center"/>
              <w:rPr>
                <w:rFonts w:ascii="华文楷体" w:eastAsia="华文楷体" w:hAnsi="华文楷体"/>
                <w:szCs w:val="21"/>
              </w:rPr>
            </w:pPr>
            <w:r w:rsidRPr="00E4460C">
              <w:rPr>
                <w:rFonts w:ascii="华文楷体" w:eastAsia="华文楷体" w:hAnsi="华文楷体" w:hint="eastAsia"/>
                <w:szCs w:val="21"/>
              </w:rPr>
              <w:t>学期</w:t>
            </w:r>
          </w:p>
        </w:tc>
        <w:tc>
          <w:tcPr>
            <w:tcW w:w="990" w:type="dxa"/>
            <w:vAlign w:val="center"/>
          </w:tcPr>
          <w:p w:rsidR="00B82C8D" w:rsidRPr="00E4460C" w:rsidRDefault="00B82C8D" w:rsidP="00B82C8D">
            <w:pPr>
              <w:ind w:left="-57" w:right="-57"/>
              <w:jc w:val="center"/>
              <w:rPr>
                <w:rFonts w:ascii="华文楷体" w:eastAsia="华文楷体" w:hAnsi="华文楷体"/>
                <w:szCs w:val="21"/>
              </w:rPr>
            </w:pPr>
            <w:r w:rsidRPr="00E4460C">
              <w:rPr>
                <w:rFonts w:ascii="华文楷体" w:eastAsia="华文楷体" w:hAnsi="华文楷体" w:hint="eastAsia"/>
                <w:szCs w:val="21"/>
              </w:rPr>
              <w:t>教学</w:t>
            </w:r>
          </w:p>
          <w:p w:rsidR="00B82C8D" w:rsidRPr="00E4460C" w:rsidRDefault="00B82C8D" w:rsidP="00B82C8D">
            <w:pPr>
              <w:ind w:left="-57" w:right="-57"/>
              <w:jc w:val="center"/>
              <w:rPr>
                <w:rFonts w:ascii="华文楷体" w:eastAsia="华文楷体" w:hAnsi="华文楷体"/>
                <w:szCs w:val="21"/>
              </w:rPr>
            </w:pPr>
            <w:r w:rsidRPr="00E4460C">
              <w:rPr>
                <w:rFonts w:ascii="华文楷体" w:eastAsia="华文楷体" w:hAnsi="华文楷体" w:hint="eastAsia"/>
                <w:szCs w:val="21"/>
              </w:rPr>
              <w:t>方式</w:t>
            </w:r>
          </w:p>
        </w:tc>
        <w:tc>
          <w:tcPr>
            <w:tcW w:w="764" w:type="dxa"/>
            <w:vAlign w:val="center"/>
          </w:tcPr>
          <w:p w:rsidR="00B82C8D" w:rsidRPr="00E4460C" w:rsidRDefault="00B82C8D" w:rsidP="00B82C8D">
            <w:pPr>
              <w:ind w:left="-57" w:right="-57"/>
              <w:rPr>
                <w:rFonts w:ascii="华文楷体" w:eastAsia="华文楷体" w:hAnsi="华文楷体"/>
                <w:kern w:val="24"/>
                <w:szCs w:val="21"/>
              </w:rPr>
            </w:pPr>
            <w:r w:rsidRPr="00E4460C">
              <w:rPr>
                <w:rFonts w:ascii="华文楷体" w:eastAsia="华文楷体" w:hAnsi="华文楷体" w:hint="eastAsia"/>
                <w:kern w:val="24"/>
                <w:szCs w:val="21"/>
              </w:rPr>
              <w:t>考核</w:t>
            </w:r>
          </w:p>
          <w:p w:rsidR="00B82C8D" w:rsidRPr="00E4460C" w:rsidRDefault="00B82C8D" w:rsidP="00B82C8D">
            <w:pPr>
              <w:ind w:left="-57" w:right="-57"/>
              <w:rPr>
                <w:rFonts w:ascii="华文楷体" w:eastAsia="华文楷体" w:hAnsi="华文楷体"/>
                <w:kern w:val="24"/>
                <w:szCs w:val="21"/>
              </w:rPr>
            </w:pPr>
            <w:r w:rsidRPr="00E4460C">
              <w:rPr>
                <w:rFonts w:ascii="华文楷体" w:eastAsia="华文楷体" w:hAnsi="华文楷体" w:hint="eastAsia"/>
                <w:kern w:val="24"/>
                <w:szCs w:val="21"/>
              </w:rPr>
              <w:t>方式</w:t>
            </w:r>
          </w:p>
        </w:tc>
        <w:tc>
          <w:tcPr>
            <w:tcW w:w="1223" w:type="dxa"/>
            <w:vAlign w:val="center"/>
          </w:tcPr>
          <w:p w:rsidR="00B82C8D" w:rsidRPr="00E4460C" w:rsidRDefault="00B82C8D" w:rsidP="00B82C8D">
            <w:pPr>
              <w:jc w:val="center"/>
              <w:rPr>
                <w:rFonts w:ascii="华文楷体" w:eastAsia="华文楷体" w:hAnsi="华文楷体"/>
                <w:szCs w:val="21"/>
              </w:rPr>
            </w:pPr>
            <w:r w:rsidRPr="00E4460C">
              <w:rPr>
                <w:rFonts w:ascii="华文楷体" w:eastAsia="华文楷体" w:hAnsi="华文楷体" w:hint="eastAsia"/>
                <w:szCs w:val="21"/>
              </w:rPr>
              <w:t>备  注</w:t>
            </w:r>
          </w:p>
        </w:tc>
      </w:tr>
      <w:tr w:rsidR="00B82C8D" w:rsidRPr="003A21F5" w:rsidTr="00E4460C">
        <w:trPr>
          <w:cantSplit/>
          <w:trHeight w:val="503"/>
          <w:jc w:val="center"/>
        </w:trPr>
        <w:tc>
          <w:tcPr>
            <w:tcW w:w="658" w:type="dxa"/>
            <w:vMerge w:val="restart"/>
            <w:textDirection w:val="tbRlV"/>
            <w:vAlign w:val="center"/>
          </w:tcPr>
          <w:p w:rsidR="00B82C8D" w:rsidRPr="003A21F5" w:rsidRDefault="00B82C8D" w:rsidP="00B82C8D">
            <w:pPr>
              <w:jc w:val="center"/>
              <w:rPr>
                <w:rFonts w:ascii="华文楷体" w:eastAsia="华文楷体" w:hAnsi="华文楷体"/>
                <w:sz w:val="24"/>
              </w:rPr>
            </w:pPr>
            <w:r w:rsidRPr="003A21F5">
              <w:rPr>
                <w:rFonts w:ascii="华文楷体" w:eastAsia="华文楷体" w:hAnsi="华文楷体" w:hint="eastAsia"/>
                <w:sz w:val="24"/>
              </w:rPr>
              <w:t>必修课程</w:t>
            </w:r>
          </w:p>
        </w:tc>
        <w:tc>
          <w:tcPr>
            <w:tcW w:w="838" w:type="dxa"/>
            <w:vMerge w:val="restart"/>
            <w:vAlign w:val="center"/>
          </w:tcPr>
          <w:p w:rsidR="00B82C8D" w:rsidRPr="00E4460C" w:rsidRDefault="00B82C8D" w:rsidP="00B82C8D">
            <w:pPr>
              <w:rPr>
                <w:rFonts w:ascii="华文楷体" w:eastAsia="华文楷体" w:hAnsi="华文楷体"/>
                <w:szCs w:val="21"/>
              </w:rPr>
            </w:pPr>
            <w:r w:rsidRPr="00E4460C">
              <w:rPr>
                <w:rFonts w:ascii="华文楷体" w:eastAsia="华文楷体" w:hAnsi="华文楷体" w:hint="eastAsia"/>
                <w:szCs w:val="21"/>
              </w:rPr>
              <w:t>学</w:t>
            </w:r>
          </w:p>
          <w:p w:rsidR="00B82C8D" w:rsidRPr="00E4460C" w:rsidRDefault="00B82C8D" w:rsidP="00B82C8D">
            <w:pPr>
              <w:rPr>
                <w:rFonts w:ascii="华文楷体" w:eastAsia="华文楷体" w:hAnsi="华文楷体"/>
                <w:szCs w:val="21"/>
              </w:rPr>
            </w:pPr>
            <w:r w:rsidRPr="00E4460C">
              <w:rPr>
                <w:rFonts w:ascii="华文楷体" w:eastAsia="华文楷体" w:hAnsi="华文楷体" w:hint="eastAsia"/>
                <w:szCs w:val="21"/>
              </w:rPr>
              <w:t>位</w:t>
            </w:r>
          </w:p>
          <w:p w:rsidR="00B82C8D" w:rsidRPr="00E4460C" w:rsidRDefault="00B82C8D" w:rsidP="00B82C8D">
            <w:pPr>
              <w:rPr>
                <w:rFonts w:ascii="华文楷体" w:eastAsia="华文楷体" w:hAnsi="华文楷体"/>
                <w:szCs w:val="21"/>
              </w:rPr>
            </w:pPr>
            <w:r w:rsidRPr="00E4460C">
              <w:rPr>
                <w:rFonts w:ascii="华文楷体" w:eastAsia="华文楷体" w:hAnsi="华文楷体" w:hint="eastAsia"/>
                <w:szCs w:val="21"/>
              </w:rPr>
              <w:t>公</w:t>
            </w:r>
          </w:p>
          <w:p w:rsidR="00B82C8D" w:rsidRPr="00E4460C" w:rsidRDefault="00B82C8D" w:rsidP="00B82C8D">
            <w:pPr>
              <w:rPr>
                <w:rFonts w:ascii="华文楷体" w:eastAsia="华文楷体" w:hAnsi="华文楷体"/>
                <w:szCs w:val="21"/>
              </w:rPr>
            </w:pPr>
            <w:r w:rsidRPr="00E4460C">
              <w:rPr>
                <w:rFonts w:ascii="华文楷体" w:eastAsia="华文楷体" w:hAnsi="华文楷体" w:hint="eastAsia"/>
                <w:szCs w:val="21"/>
              </w:rPr>
              <w:t>共</w:t>
            </w:r>
          </w:p>
          <w:p w:rsidR="00B82C8D" w:rsidRPr="00E4460C" w:rsidRDefault="00B82C8D" w:rsidP="00B82C8D">
            <w:pPr>
              <w:rPr>
                <w:rFonts w:ascii="华文楷体" w:eastAsia="华文楷体" w:hAnsi="华文楷体"/>
                <w:szCs w:val="21"/>
              </w:rPr>
            </w:pPr>
            <w:r w:rsidRPr="00E4460C">
              <w:rPr>
                <w:rFonts w:ascii="华文楷体" w:eastAsia="华文楷体" w:hAnsi="华文楷体" w:hint="eastAsia"/>
                <w:szCs w:val="21"/>
              </w:rPr>
              <w:lastRenderedPageBreak/>
              <w:t>课</w:t>
            </w:r>
          </w:p>
        </w:tc>
        <w:tc>
          <w:tcPr>
            <w:tcW w:w="1233" w:type="dxa"/>
            <w:vMerge w:val="restart"/>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lastRenderedPageBreak/>
              <w:t>马克思主义理论课</w:t>
            </w:r>
          </w:p>
        </w:tc>
        <w:tc>
          <w:tcPr>
            <w:tcW w:w="1603" w:type="dxa"/>
            <w:tcBorders>
              <w:bottom w:val="single" w:sz="4" w:space="0" w:color="auto"/>
            </w:tcBorders>
            <w:vAlign w:val="center"/>
          </w:tcPr>
          <w:p w:rsidR="00B82C8D" w:rsidRPr="00E4460C" w:rsidRDefault="00B82C8D" w:rsidP="00EA41EC">
            <w:pPr>
              <w:snapToGrid w:val="0"/>
              <w:spacing w:line="200" w:lineRule="exact"/>
              <w:jc w:val="left"/>
              <w:rPr>
                <w:rFonts w:ascii="华文楷体" w:eastAsia="华文楷体" w:hAnsi="华文楷体"/>
                <w:szCs w:val="21"/>
              </w:rPr>
            </w:pPr>
            <w:r w:rsidRPr="00E4460C">
              <w:rPr>
                <w:rFonts w:ascii="华文楷体" w:eastAsia="华文楷体" w:hAnsi="华文楷体" w:hint="eastAsia"/>
                <w:szCs w:val="21"/>
              </w:rPr>
              <w:t>马克思主义经典著作选读</w:t>
            </w:r>
          </w:p>
        </w:tc>
        <w:tc>
          <w:tcPr>
            <w:tcW w:w="709"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72</w:t>
            </w:r>
          </w:p>
        </w:tc>
        <w:tc>
          <w:tcPr>
            <w:tcW w:w="721"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w:t>
            </w:r>
          </w:p>
        </w:tc>
        <w:tc>
          <w:tcPr>
            <w:tcW w:w="990"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讲座</w:t>
            </w:r>
          </w:p>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自学</w:t>
            </w:r>
          </w:p>
        </w:tc>
        <w:tc>
          <w:tcPr>
            <w:tcW w:w="764"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考试论文</w:t>
            </w:r>
          </w:p>
        </w:tc>
        <w:tc>
          <w:tcPr>
            <w:tcW w:w="1223" w:type="dxa"/>
            <w:tcBorders>
              <w:bottom w:val="single" w:sz="4" w:space="0" w:color="auto"/>
            </w:tcBorders>
            <w:vAlign w:val="center"/>
          </w:tcPr>
          <w:p w:rsidR="00B82C8D" w:rsidRPr="003A21F5" w:rsidRDefault="00B82C8D" w:rsidP="00B82C8D">
            <w:pPr>
              <w:spacing w:line="200" w:lineRule="exact"/>
              <w:jc w:val="left"/>
              <w:rPr>
                <w:rFonts w:ascii="华文楷体" w:eastAsia="华文楷体" w:hAnsi="华文楷体"/>
                <w:sz w:val="24"/>
              </w:rPr>
            </w:pPr>
          </w:p>
        </w:tc>
      </w:tr>
      <w:tr w:rsidR="00B82C8D" w:rsidRPr="003A21F5" w:rsidTr="00E4460C">
        <w:trPr>
          <w:cantSplit/>
          <w:trHeight w:val="327"/>
          <w:jc w:val="center"/>
        </w:trPr>
        <w:tc>
          <w:tcPr>
            <w:tcW w:w="658" w:type="dxa"/>
            <w:vMerge/>
            <w:textDirection w:val="tbRlV"/>
            <w:vAlign w:val="center"/>
          </w:tcPr>
          <w:p w:rsidR="00B82C8D" w:rsidRPr="003A21F5" w:rsidRDefault="00B82C8D" w:rsidP="00B82C8D">
            <w:pPr>
              <w:jc w:val="left"/>
              <w:rPr>
                <w:rFonts w:ascii="华文楷体" w:eastAsia="华文楷体" w:hAnsi="华文楷体"/>
                <w:sz w:val="28"/>
                <w:szCs w:val="28"/>
              </w:rPr>
            </w:pPr>
          </w:p>
        </w:tc>
        <w:tc>
          <w:tcPr>
            <w:tcW w:w="838" w:type="dxa"/>
            <w:vMerge/>
            <w:vAlign w:val="center"/>
          </w:tcPr>
          <w:p w:rsidR="00B82C8D" w:rsidRPr="00E4460C" w:rsidRDefault="00B82C8D" w:rsidP="00B82C8D">
            <w:pPr>
              <w:jc w:val="center"/>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603" w:type="dxa"/>
            <w:tcBorders>
              <w:bottom w:val="single" w:sz="4" w:space="0" w:color="auto"/>
            </w:tcBorders>
            <w:vAlign w:val="center"/>
          </w:tcPr>
          <w:p w:rsidR="00B82C8D" w:rsidRPr="00E4460C" w:rsidRDefault="00B82C8D" w:rsidP="00B82C8D">
            <w:pPr>
              <w:snapToGrid w:val="0"/>
              <w:spacing w:line="200" w:lineRule="exact"/>
              <w:jc w:val="left"/>
              <w:rPr>
                <w:rFonts w:ascii="华文楷体" w:eastAsia="华文楷体" w:hAnsi="华文楷体"/>
                <w:szCs w:val="21"/>
              </w:rPr>
            </w:pPr>
            <w:r w:rsidRPr="00E4460C">
              <w:rPr>
                <w:rFonts w:ascii="华文楷体" w:eastAsia="华文楷体" w:hAnsi="华文楷体" w:hint="eastAsia"/>
                <w:szCs w:val="21"/>
              </w:rPr>
              <w:t>科学社会主义理论与实践</w:t>
            </w:r>
          </w:p>
        </w:tc>
        <w:tc>
          <w:tcPr>
            <w:tcW w:w="709"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讲座</w:t>
            </w:r>
          </w:p>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自学</w:t>
            </w:r>
          </w:p>
        </w:tc>
        <w:tc>
          <w:tcPr>
            <w:tcW w:w="764" w:type="dxa"/>
            <w:tcBorders>
              <w:bottom w:val="single" w:sz="4" w:space="0" w:color="auto"/>
            </w:tcBorders>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考试论文</w:t>
            </w:r>
          </w:p>
        </w:tc>
        <w:tc>
          <w:tcPr>
            <w:tcW w:w="1223" w:type="dxa"/>
            <w:tcBorders>
              <w:bottom w:val="single" w:sz="4" w:space="0" w:color="auto"/>
            </w:tcBorders>
            <w:vAlign w:val="center"/>
          </w:tcPr>
          <w:p w:rsidR="00B82C8D" w:rsidRPr="003A21F5" w:rsidRDefault="00B82C8D" w:rsidP="00B82C8D">
            <w:pPr>
              <w:spacing w:line="200" w:lineRule="exact"/>
              <w:jc w:val="left"/>
              <w:rPr>
                <w:rFonts w:ascii="华文楷体" w:eastAsia="华文楷体" w:hAnsi="华文楷体"/>
                <w:sz w:val="24"/>
              </w:rPr>
            </w:pPr>
          </w:p>
        </w:tc>
      </w:tr>
      <w:tr w:rsidR="00B82C8D" w:rsidRPr="003A21F5" w:rsidTr="00E4460C">
        <w:trPr>
          <w:cantSplit/>
          <w:trHeight w:val="550"/>
          <w:jc w:val="center"/>
        </w:trPr>
        <w:tc>
          <w:tcPr>
            <w:tcW w:w="658" w:type="dxa"/>
            <w:vMerge/>
            <w:textDirection w:val="tbRlV"/>
            <w:vAlign w:val="center"/>
          </w:tcPr>
          <w:p w:rsidR="00B82C8D" w:rsidRPr="003A21F5" w:rsidRDefault="00B82C8D" w:rsidP="00B82C8D">
            <w:pPr>
              <w:jc w:val="left"/>
              <w:rPr>
                <w:rFonts w:ascii="华文楷体" w:eastAsia="华文楷体" w:hAnsi="华文楷体"/>
                <w:sz w:val="28"/>
                <w:szCs w:val="28"/>
              </w:rPr>
            </w:pPr>
          </w:p>
        </w:tc>
        <w:tc>
          <w:tcPr>
            <w:tcW w:w="838" w:type="dxa"/>
            <w:vMerge/>
            <w:vAlign w:val="center"/>
          </w:tcPr>
          <w:p w:rsidR="00B82C8D" w:rsidRPr="00E4460C" w:rsidRDefault="00B82C8D" w:rsidP="00B82C8D">
            <w:pPr>
              <w:jc w:val="center"/>
              <w:rPr>
                <w:rFonts w:ascii="华文楷体" w:eastAsia="华文楷体" w:hAnsi="华文楷体"/>
                <w:szCs w:val="21"/>
              </w:rPr>
            </w:pPr>
          </w:p>
        </w:tc>
        <w:tc>
          <w:tcPr>
            <w:tcW w:w="123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外国语</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基础外语</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4</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w:t>
            </w:r>
          </w:p>
        </w:tc>
        <w:tc>
          <w:tcPr>
            <w:tcW w:w="1223" w:type="dxa"/>
            <w:vAlign w:val="center"/>
          </w:tcPr>
          <w:p w:rsidR="00B82C8D" w:rsidRPr="003A21F5" w:rsidRDefault="00B82C8D" w:rsidP="00B82C8D">
            <w:pPr>
              <w:snapToGrid w:val="0"/>
              <w:spacing w:line="200" w:lineRule="exact"/>
              <w:jc w:val="left"/>
              <w:rPr>
                <w:rFonts w:ascii="华文楷体" w:eastAsia="华文楷体" w:hAnsi="华文楷体"/>
                <w:sz w:val="24"/>
              </w:rPr>
            </w:pPr>
          </w:p>
        </w:tc>
      </w:tr>
      <w:tr w:rsidR="00B82C8D" w:rsidRPr="003A21F5" w:rsidTr="00E4460C">
        <w:trPr>
          <w:cantSplit/>
          <w:trHeight w:val="602"/>
          <w:jc w:val="center"/>
        </w:trPr>
        <w:tc>
          <w:tcPr>
            <w:tcW w:w="658" w:type="dxa"/>
            <w:vMerge/>
            <w:textDirection w:val="tbRlV"/>
            <w:vAlign w:val="center"/>
          </w:tcPr>
          <w:p w:rsidR="00B82C8D" w:rsidRPr="003A21F5" w:rsidRDefault="00B82C8D" w:rsidP="00B82C8D">
            <w:pPr>
              <w:jc w:val="left"/>
              <w:rPr>
                <w:rFonts w:ascii="华文楷体" w:eastAsia="华文楷体" w:hAnsi="华文楷体"/>
                <w:sz w:val="28"/>
                <w:szCs w:val="28"/>
              </w:rPr>
            </w:pPr>
          </w:p>
        </w:tc>
        <w:tc>
          <w:tcPr>
            <w:tcW w:w="838" w:type="dxa"/>
            <w:vMerge/>
            <w:vAlign w:val="center"/>
          </w:tcPr>
          <w:p w:rsidR="00B82C8D" w:rsidRPr="00E4460C" w:rsidRDefault="00B82C8D" w:rsidP="00B82C8D">
            <w:pPr>
              <w:jc w:val="center"/>
              <w:rPr>
                <w:rFonts w:ascii="华文楷体" w:eastAsia="华文楷体" w:hAnsi="华文楷体"/>
                <w:szCs w:val="21"/>
              </w:rPr>
            </w:pPr>
          </w:p>
        </w:tc>
        <w:tc>
          <w:tcPr>
            <w:tcW w:w="123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方法论课</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w:t>
            </w:r>
          </w:p>
        </w:tc>
        <w:tc>
          <w:tcPr>
            <w:tcW w:w="1223" w:type="dxa"/>
            <w:vAlign w:val="center"/>
          </w:tcPr>
          <w:p w:rsidR="00B82C8D" w:rsidRPr="003A21F5" w:rsidRDefault="00B82C8D" w:rsidP="00B82C8D">
            <w:pPr>
              <w:snapToGrid w:val="0"/>
              <w:spacing w:line="200" w:lineRule="exact"/>
              <w:jc w:val="left"/>
              <w:rPr>
                <w:rFonts w:ascii="华文楷体" w:eastAsia="华文楷体" w:hAnsi="华文楷体"/>
                <w:sz w:val="24"/>
              </w:rPr>
            </w:pPr>
          </w:p>
        </w:tc>
      </w:tr>
      <w:tr w:rsidR="00B82C8D" w:rsidRPr="003A21F5" w:rsidTr="00E4460C">
        <w:trPr>
          <w:cantSplit/>
          <w:trHeight w:val="578"/>
          <w:jc w:val="center"/>
        </w:trPr>
        <w:tc>
          <w:tcPr>
            <w:tcW w:w="658" w:type="dxa"/>
            <w:vMerge/>
            <w:vAlign w:val="center"/>
          </w:tcPr>
          <w:p w:rsidR="00B82C8D" w:rsidRPr="003A21F5" w:rsidRDefault="00B82C8D" w:rsidP="00B82C8D">
            <w:pPr>
              <w:jc w:val="left"/>
              <w:rPr>
                <w:rFonts w:ascii="华文楷体" w:eastAsia="华文楷体" w:hAnsi="华文楷体"/>
                <w:sz w:val="28"/>
                <w:szCs w:val="28"/>
              </w:rPr>
            </w:pPr>
          </w:p>
        </w:tc>
        <w:tc>
          <w:tcPr>
            <w:tcW w:w="838" w:type="dxa"/>
            <w:vAlign w:val="center"/>
          </w:tcPr>
          <w:p w:rsidR="00B82C8D" w:rsidRPr="00E4460C" w:rsidRDefault="00B82C8D" w:rsidP="00E4460C">
            <w:pPr>
              <w:rPr>
                <w:rFonts w:ascii="华文楷体" w:eastAsia="华文楷体" w:hAnsi="华文楷体"/>
                <w:szCs w:val="21"/>
              </w:rPr>
            </w:pPr>
            <w:r w:rsidRPr="00E4460C">
              <w:rPr>
                <w:rFonts w:ascii="华文楷体" w:eastAsia="华文楷体" w:hAnsi="华文楷体" w:hint="eastAsia"/>
                <w:szCs w:val="21"/>
              </w:rPr>
              <w:t>学位基础课</w:t>
            </w:r>
          </w:p>
        </w:tc>
        <w:tc>
          <w:tcPr>
            <w:tcW w:w="1233" w:type="dxa"/>
            <w:vAlign w:val="center"/>
          </w:tcPr>
          <w:p w:rsidR="00B82C8D" w:rsidRPr="00E4460C" w:rsidRDefault="004F0EA9" w:rsidP="004F0EA9">
            <w:pPr>
              <w:spacing w:line="200" w:lineRule="exact"/>
              <w:jc w:val="left"/>
              <w:rPr>
                <w:rFonts w:ascii="华文楷体" w:eastAsia="华文楷体" w:hAnsi="华文楷体"/>
                <w:szCs w:val="21"/>
              </w:rPr>
            </w:pPr>
            <w:r w:rsidRPr="00E4460C">
              <w:rPr>
                <w:rFonts w:ascii="华文楷体" w:eastAsia="华文楷体" w:hAnsi="华文楷体" w:hint="eastAsia"/>
                <w:szCs w:val="21"/>
              </w:rPr>
              <w:t>中级计量经济学</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54</w:t>
            </w:r>
          </w:p>
        </w:tc>
        <w:tc>
          <w:tcPr>
            <w:tcW w:w="721" w:type="dxa"/>
            <w:vAlign w:val="center"/>
          </w:tcPr>
          <w:p w:rsidR="00B82C8D" w:rsidRPr="00E4460C" w:rsidRDefault="00B82C8D" w:rsidP="00E4460C">
            <w:pPr>
              <w:spacing w:line="200" w:lineRule="exact"/>
              <w:ind w:left="105" w:hangingChars="50" w:hanging="105"/>
              <w:jc w:val="left"/>
              <w:rPr>
                <w:rFonts w:ascii="华文楷体" w:eastAsia="华文楷体" w:hAnsi="华文楷体"/>
                <w:szCs w:val="21"/>
              </w:rPr>
            </w:pPr>
            <w:r w:rsidRPr="00E4460C">
              <w:rPr>
                <w:rFonts w:ascii="华文楷体" w:eastAsia="华文楷体" w:hAnsi="华文楷体" w:hint="eastAsia"/>
                <w:szCs w:val="21"/>
              </w:rPr>
              <w:t>1</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w:t>
            </w:r>
          </w:p>
        </w:tc>
        <w:tc>
          <w:tcPr>
            <w:tcW w:w="1223" w:type="dxa"/>
            <w:vAlign w:val="center"/>
          </w:tcPr>
          <w:p w:rsidR="00B82C8D" w:rsidRPr="003A21F5" w:rsidRDefault="00B82C8D" w:rsidP="00B82C8D">
            <w:pPr>
              <w:snapToGrid w:val="0"/>
              <w:spacing w:line="200" w:lineRule="exact"/>
              <w:jc w:val="left"/>
              <w:rPr>
                <w:rFonts w:ascii="华文楷体" w:eastAsia="华文楷体" w:hAnsi="华文楷体"/>
                <w:sz w:val="24"/>
              </w:rPr>
            </w:pPr>
          </w:p>
        </w:tc>
      </w:tr>
      <w:tr w:rsidR="00B82C8D" w:rsidRPr="003A21F5" w:rsidTr="00E4460C">
        <w:trPr>
          <w:cantSplit/>
          <w:trHeight w:val="276"/>
          <w:jc w:val="center"/>
        </w:trPr>
        <w:tc>
          <w:tcPr>
            <w:tcW w:w="658" w:type="dxa"/>
            <w:vMerge/>
            <w:vAlign w:val="center"/>
          </w:tcPr>
          <w:p w:rsidR="00B82C8D" w:rsidRPr="003A21F5" w:rsidRDefault="00B82C8D" w:rsidP="00B82C8D">
            <w:pPr>
              <w:ind w:left="113"/>
              <w:jc w:val="left"/>
              <w:rPr>
                <w:rFonts w:ascii="华文楷体" w:eastAsia="华文楷体" w:hAnsi="华文楷体"/>
                <w:sz w:val="28"/>
                <w:szCs w:val="28"/>
              </w:rPr>
            </w:pPr>
          </w:p>
        </w:tc>
        <w:tc>
          <w:tcPr>
            <w:tcW w:w="838" w:type="dxa"/>
            <w:vMerge w:val="restart"/>
            <w:vAlign w:val="center"/>
          </w:tcPr>
          <w:p w:rsidR="00B82C8D" w:rsidRPr="00E4460C" w:rsidRDefault="00B82C8D" w:rsidP="00B82C8D">
            <w:pPr>
              <w:spacing w:line="400" w:lineRule="exact"/>
              <w:rPr>
                <w:rFonts w:ascii="华文楷体" w:eastAsia="华文楷体" w:hAnsi="华文楷体"/>
                <w:szCs w:val="21"/>
              </w:rPr>
            </w:pPr>
            <w:r w:rsidRPr="00E4460C">
              <w:rPr>
                <w:rFonts w:ascii="华文楷体" w:eastAsia="华文楷体" w:hAnsi="华文楷体" w:hint="eastAsia"/>
                <w:szCs w:val="21"/>
              </w:rPr>
              <w:t>学位专业课</w:t>
            </w:r>
          </w:p>
        </w:tc>
        <w:tc>
          <w:tcPr>
            <w:tcW w:w="1233"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中级微观经济学</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54</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w:t>
            </w:r>
          </w:p>
        </w:tc>
        <w:tc>
          <w:tcPr>
            <w:tcW w:w="1223" w:type="dxa"/>
            <w:vAlign w:val="center"/>
          </w:tcPr>
          <w:p w:rsidR="00B82C8D" w:rsidRPr="003A21F5" w:rsidRDefault="00B82C8D" w:rsidP="00B82C8D">
            <w:pPr>
              <w:adjustRightInd w:val="0"/>
              <w:snapToGrid w:val="0"/>
              <w:spacing w:line="200" w:lineRule="exact"/>
              <w:jc w:val="left"/>
              <w:rPr>
                <w:rFonts w:ascii="华文楷体" w:eastAsia="华文楷体" w:hAnsi="华文楷体"/>
                <w:sz w:val="24"/>
              </w:rPr>
            </w:pPr>
          </w:p>
        </w:tc>
      </w:tr>
      <w:tr w:rsidR="00B82C8D" w:rsidRPr="003A21F5" w:rsidTr="00E4460C">
        <w:trPr>
          <w:cantSplit/>
          <w:trHeight w:val="276"/>
          <w:jc w:val="center"/>
        </w:trPr>
        <w:tc>
          <w:tcPr>
            <w:tcW w:w="658" w:type="dxa"/>
            <w:vMerge w:val="restart"/>
            <w:tcBorders>
              <w:top w:val="nil"/>
            </w:tcBorders>
            <w:vAlign w:val="center"/>
          </w:tcPr>
          <w:p w:rsidR="00B82C8D" w:rsidRPr="003A21F5" w:rsidRDefault="00B82C8D" w:rsidP="00B82C8D">
            <w:pPr>
              <w:ind w:left="113"/>
              <w:jc w:val="left"/>
              <w:rPr>
                <w:rFonts w:ascii="华文楷体" w:eastAsia="华文楷体" w:hAnsi="华文楷体"/>
                <w:sz w:val="28"/>
                <w:szCs w:val="28"/>
              </w:rPr>
            </w:pPr>
          </w:p>
        </w:tc>
        <w:tc>
          <w:tcPr>
            <w:tcW w:w="838" w:type="dxa"/>
            <w:vMerge/>
            <w:vAlign w:val="center"/>
          </w:tcPr>
          <w:p w:rsidR="00B82C8D" w:rsidRPr="00E4460C" w:rsidRDefault="00B82C8D" w:rsidP="00B82C8D">
            <w:pPr>
              <w:spacing w:line="400" w:lineRule="exact"/>
              <w:rPr>
                <w:rFonts w:ascii="华文楷体" w:eastAsia="华文楷体" w:hAnsi="华文楷体"/>
                <w:szCs w:val="21"/>
              </w:rPr>
            </w:pPr>
          </w:p>
        </w:tc>
        <w:tc>
          <w:tcPr>
            <w:tcW w:w="1233" w:type="dxa"/>
            <w:vAlign w:val="center"/>
          </w:tcPr>
          <w:p w:rsidR="00B82C8D" w:rsidRPr="00E4460C" w:rsidRDefault="00C12CDF"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中级宏观经济学</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54</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3A21F5" w:rsidRDefault="00B82C8D" w:rsidP="00B82C8D">
            <w:pPr>
              <w:adjustRightInd w:val="0"/>
              <w:snapToGrid w:val="0"/>
              <w:spacing w:line="200" w:lineRule="exact"/>
              <w:jc w:val="left"/>
              <w:rPr>
                <w:rFonts w:ascii="华文楷体" w:eastAsia="华文楷体" w:hAnsi="华文楷体"/>
                <w:sz w:val="24"/>
              </w:rPr>
            </w:pPr>
          </w:p>
        </w:tc>
      </w:tr>
      <w:tr w:rsidR="00B82C8D" w:rsidRPr="003A21F5" w:rsidTr="00E4460C">
        <w:trPr>
          <w:cantSplit/>
          <w:trHeight w:val="276"/>
          <w:jc w:val="center"/>
        </w:trPr>
        <w:tc>
          <w:tcPr>
            <w:tcW w:w="658" w:type="dxa"/>
            <w:vMerge/>
            <w:tcBorders>
              <w:top w:val="nil"/>
            </w:tcBorders>
            <w:vAlign w:val="center"/>
          </w:tcPr>
          <w:p w:rsidR="00B82C8D" w:rsidRPr="003A21F5" w:rsidRDefault="00B82C8D" w:rsidP="00B82C8D">
            <w:pPr>
              <w:ind w:left="113"/>
              <w:jc w:val="left"/>
              <w:rPr>
                <w:rFonts w:ascii="华文楷体" w:eastAsia="华文楷体" w:hAnsi="华文楷体"/>
                <w:sz w:val="28"/>
                <w:szCs w:val="28"/>
              </w:rPr>
            </w:pPr>
          </w:p>
        </w:tc>
        <w:tc>
          <w:tcPr>
            <w:tcW w:w="838" w:type="dxa"/>
            <w:vMerge/>
            <w:vAlign w:val="center"/>
          </w:tcPr>
          <w:p w:rsidR="00B82C8D" w:rsidRPr="00E4460C" w:rsidRDefault="00B82C8D" w:rsidP="00B82C8D">
            <w:pPr>
              <w:spacing w:line="400" w:lineRule="exact"/>
              <w:rPr>
                <w:rFonts w:ascii="华文楷体" w:eastAsia="华文楷体" w:hAnsi="华文楷体"/>
                <w:szCs w:val="21"/>
              </w:rPr>
            </w:pPr>
          </w:p>
        </w:tc>
        <w:tc>
          <w:tcPr>
            <w:tcW w:w="1233"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财政理论与政策</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54</w:t>
            </w:r>
          </w:p>
        </w:tc>
        <w:tc>
          <w:tcPr>
            <w:tcW w:w="721"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3A21F5" w:rsidRDefault="00B82C8D" w:rsidP="00B82C8D">
            <w:pPr>
              <w:adjustRightInd w:val="0"/>
              <w:snapToGrid w:val="0"/>
              <w:spacing w:line="200" w:lineRule="exact"/>
              <w:jc w:val="left"/>
              <w:rPr>
                <w:rFonts w:ascii="华文楷体" w:eastAsia="华文楷体" w:hAnsi="华文楷体"/>
                <w:sz w:val="24"/>
              </w:rPr>
            </w:pPr>
          </w:p>
        </w:tc>
      </w:tr>
      <w:tr w:rsidR="00B82C8D" w:rsidRPr="003A21F5" w:rsidTr="00E4460C">
        <w:trPr>
          <w:cantSplit/>
          <w:trHeight w:val="276"/>
          <w:jc w:val="center"/>
        </w:trPr>
        <w:tc>
          <w:tcPr>
            <w:tcW w:w="658" w:type="dxa"/>
            <w:vMerge/>
            <w:tcBorders>
              <w:top w:val="nil"/>
            </w:tcBorders>
            <w:vAlign w:val="center"/>
          </w:tcPr>
          <w:p w:rsidR="00B82C8D" w:rsidRPr="003A21F5" w:rsidRDefault="00B82C8D" w:rsidP="00B82C8D">
            <w:pPr>
              <w:ind w:left="113"/>
              <w:jc w:val="left"/>
              <w:rPr>
                <w:rFonts w:ascii="华文楷体" w:eastAsia="华文楷体" w:hAnsi="华文楷体"/>
                <w:sz w:val="28"/>
                <w:szCs w:val="28"/>
              </w:rPr>
            </w:pPr>
          </w:p>
        </w:tc>
        <w:tc>
          <w:tcPr>
            <w:tcW w:w="838" w:type="dxa"/>
            <w:vMerge/>
            <w:vAlign w:val="center"/>
          </w:tcPr>
          <w:p w:rsidR="00B82C8D" w:rsidRPr="00E4460C" w:rsidRDefault="00B82C8D" w:rsidP="00B82C8D">
            <w:pPr>
              <w:spacing w:line="400" w:lineRule="exact"/>
              <w:rPr>
                <w:rFonts w:ascii="华文楷体" w:eastAsia="华文楷体" w:hAnsi="华文楷体"/>
                <w:szCs w:val="21"/>
              </w:rPr>
            </w:pPr>
          </w:p>
        </w:tc>
        <w:tc>
          <w:tcPr>
            <w:tcW w:w="123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合计</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9</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162</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3A21F5" w:rsidRDefault="00B82C8D" w:rsidP="00B82C8D">
            <w:pPr>
              <w:adjustRightInd w:val="0"/>
              <w:snapToGrid w:val="0"/>
              <w:spacing w:line="200" w:lineRule="exact"/>
              <w:jc w:val="left"/>
              <w:rPr>
                <w:rFonts w:ascii="华文楷体" w:eastAsia="华文楷体" w:hAnsi="华文楷体"/>
                <w:sz w:val="24"/>
              </w:rPr>
            </w:pPr>
          </w:p>
        </w:tc>
      </w:tr>
      <w:tr w:rsidR="00B82C8D" w:rsidRPr="003A21F5" w:rsidTr="00E4460C">
        <w:trPr>
          <w:cantSplit/>
          <w:trHeight w:val="800"/>
          <w:jc w:val="center"/>
        </w:trPr>
        <w:tc>
          <w:tcPr>
            <w:tcW w:w="1496" w:type="dxa"/>
            <w:gridSpan w:val="2"/>
            <w:vMerge w:val="restart"/>
            <w:vAlign w:val="center"/>
          </w:tcPr>
          <w:p w:rsidR="00B82C8D" w:rsidRPr="00E4460C" w:rsidRDefault="00B82C8D" w:rsidP="00B82C8D">
            <w:pPr>
              <w:spacing w:line="240" w:lineRule="atLeast"/>
              <w:jc w:val="center"/>
              <w:rPr>
                <w:rFonts w:ascii="华文楷体" w:eastAsia="华文楷体" w:hAnsi="华文楷体"/>
                <w:szCs w:val="21"/>
              </w:rPr>
            </w:pPr>
          </w:p>
          <w:p w:rsidR="00B82C8D" w:rsidRPr="00E4460C" w:rsidRDefault="00B82C8D" w:rsidP="00B82C8D">
            <w:pPr>
              <w:spacing w:line="240" w:lineRule="atLeast"/>
              <w:jc w:val="center"/>
              <w:rPr>
                <w:rFonts w:ascii="华文楷体" w:eastAsia="华文楷体" w:hAnsi="华文楷体"/>
                <w:szCs w:val="21"/>
              </w:rPr>
            </w:pPr>
            <w:r w:rsidRPr="00E4460C">
              <w:rPr>
                <w:rFonts w:ascii="华文楷体" w:eastAsia="华文楷体" w:hAnsi="华文楷体" w:hint="eastAsia"/>
                <w:szCs w:val="21"/>
              </w:rPr>
              <w:t>选</w:t>
            </w:r>
          </w:p>
          <w:p w:rsidR="00B82C8D" w:rsidRPr="00E4460C" w:rsidRDefault="00B82C8D" w:rsidP="00B82C8D">
            <w:pPr>
              <w:spacing w:line="240" w:lineRule="atLeast"/>
              <w:jc w:val="center"/>
              <w:rPr>
                <w:rFonts w:ascii="华文楷体" w:eastAsia="华文楷体" w:hAnsi="华文楷体"/>
                <w:szCs w:val="21"/>
              </w:rPr>
            </w:pPr>
            <w:r w:rsidRPr="00E4460C">
              <w:rPr>
                <w:rFonts w:ascii="华文楷体" w:eastAsia="华文楷体" w:hAnsi="华文楷体" w:hint="eastAsia"/>
                <w:szCs w:val="21"/>
              </w:rPr>
              <w:t>修</w:t>
            </w:r>
          </w:p>
          <w:p w:rsidR="00B82C8D" w:rsidRPr="00E4460C" w:rsidRDefault="00B82C8D" w:rsidP="00B82C8D">
            <w:pPr>
              <w:spacing w:line="240" w:lineRule="atLeast"/>
              <w:jc w:val="center"/>
              <w:rPr>
                <w:rFonts w:ascii="华文楷体" w:eastAsia="华文楷体" w:hAnsi="华文楷体"/>
                <w:szCs w:val="21"/>
              </w:rPr>
            </w:pPr>
            <w:r w:rsidRPr="00E4460C">
              <w:rPr>
                <w:rFonts w:ascii="华文楷体" w:eastAsia="华文楷体" w:hAnsi="华文楷体" w:hint="eastAsia"/>
                <w:szCs w:val="21"/>
              </w:rPr>
              <w:t>课</w:t>
            </w:r>
          </w:p>
          <w:p w:rsidR="00B82C8D" w:rsidRPr="00E4460C" w:rsidRDefault="00B82C8D" w:rsidP="00B82C8D">
            <w:pPr>
              <w:spacing w:line="240" w:lineRule="atLeast"/>
              <w:jc w:val="center"/>
              <w:rPr>
                <w:rFonts w:ascii="华文楷体" w:eastAsia="华文楷体" w:hAnsi="华文楷体"/>
                <w:szCs w:val="21"/>
              </w:rPr>
            </w:pPr>
            <w:r w:rsidRPr="00E4460C">
              <w:rPr>
                <w:rFonts w:ascii="华文楷体" w:eastAsia="华文楷体" w:hAnsi="华文楷体" w:hint="eastAsia"/>
                <w:szCs w:val="21"/>
              </w:rPr>
              <w:t>程</w:t>
            </w:r>
          </w:p>
        </w:tc>
        <w:tc>
          <w:tcPr>
            <w:tcW w:w="1233" w:type="dxa"/>
            <w:vMerge w:val="restart"/>
            <w:vAlign w:val="center"/>
          </w:tcPr>
          <w:p w:rsidR="00B82C8D" w:rsidRPr="00E4460C" w:rsidRDefault="00B82C8D" w:rsidP="00B82C8D">
            <w:pPr>
              <w:spacing w:line="200" w:lineRule="exact"/>
              <w:jc w:val="left"/>
              <w:rPr>
                <w:rFonts w:ascii="华文楷体" w:eastAsia="华文楷体" w:hAnsi="华文楷体"/>
                <w:spacing w:val="-8"/>
                <w:szCs w:val="21"/>
              </w:rPr>
            </w:pPr>
            <w:r w:rsidRPr="00E4460C">
              <w:rPr>
                <w:rFonts w:ascii="华文楷体" w:eastAsia="华文楷体" w:hAnsi="华文楷体" w:hint="eastAsia"/>
                <w:spacing w:val="-8"/>
                <w:szCs w:val="21"/>
              </w:rPr>
              <w:t>专业限选课</w:t>
            </w:r>
          </w:p>
        </w:tc>
        <w:tc>
          <w:tcPr>
            <w:tcW w:w="1603"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税收理论与法治研究</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990"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restart"/>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考查</w:t>
            </w:r>
          </w:p>
        </w:tc>
        <w:tc>
          <w:tcPr>
            <w:tcW w:w="1223" w:type="dxa"/>
            <w:vMerge w:val="restart"/>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r w:rsidRPr="00E4460C">
              <w:rPr>
                <w:rFonts w:ascii="华文楷体" w:eastAsia="华文楷体" w:hAnsi="华文楷体" w:hint="eastAsia"/>
                <w:szCs w:val="21"/>
              </w:rPr>
              <w:t>应开出一定数量的课程供学生选修,每门课程36课时，2学分。</w:t>
            </w:r>
          </w:p>
        </w:tc>
      </w:tr>
      <w:tr w:rsidR="00B82C8D" w:rsidRPr="003A21F5" w:rsidTr="00E4460C">
        <w:trPr>
          <w:cantSplit/>
          <w:trHeight w:val="800"/>
          <w:jc w:val="center"/>
        </w:trPr>
        <w:tc>
          <w:tcPr>
            <w:tcW w:w="1496" w:type="dxa"/>
            <w:gridSpan w:val="2"/>
            <w:vMerge/>
            <w:vAlign w:val="center"/>
          </w:tcPr>
          <w:p w:rsidR="00B82C8D" w:rsidRPr="00E4460C" w:rsidRDefault="00B82C8D" w:rsidP="00B82C8D">
            <w:pPr>
              <w:spacing w:line="240" w:lineRule="atLeast"/>
              <w:jc w:val="center"/>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C12CDF"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财政管理专题研究</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Merge/>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00"/>
          <w:jc w:val="center"/>
        </w:trPr>
        <w:tc>
          <w:tcPr>
            <w:tcW w:w="1496" w:type="dxa"/>
            <w:gridSpan w:val="2"/>
            <w:vMerge/>
            <w:vAlign w:val="center"/>
          </w:tcPr>
          <w:p w:rsidR="00B82C8D" w:rsidRPr="00E4460C" w:rsidRDefault="00B82C8D" w:rsidP="00B82C8D">
            <w:pPr>
              <w:spacing w:line="240" w:lineRule="atLeast"/>
              <w:jc w:val="center"/>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合计</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4</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72</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Merge/>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794"/>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restart"/>
            <w:vAlign w:val="center"/>
          </w:tcPr>
          <w:p w:rsidR="00B82C8D" w:rsidRPr="00E4460C" w:rsidRDefault="00B82C8D" w:rsidP="00B82C8D">
            <w:pPr>
              <w:spacing w:line="200" w:lineRule="exact"/>
              <w:jc w:val="left"/>
              <w:rPr>
                <w:rFonts w:ascii="华文楷体" w:eastAsia="华文楷体" w:hAnsi="华文楷体"/>
                <w:spacing w:val="-8"/>
                <w:szCs w:val="21"/>
              </w:rPr>
            </w:pPr>
            <w:r w:rsidRPr="00E4460C">
              <w:rPr>
                <w:rFonts w:ascii="华文楷体" w:eastAsia="华文楷体" w:hAnsi="华文楷体" w:hint="eastAsia"/>
                <w:spacing w:val="-8"/>
                <w:szCs w:val="21"/>
              </w:rPr>
              <w:t>任选课</w:t>
            </w:r>
          </w:p>
        </w:tc>
        <w:tc>
          <w:tcPr>
            <w:tcW w:w="160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金融学</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Merge/>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47"/>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税法</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32"/>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6850B0">
            <w:pPr>
              <w:spacing w:line="200" w:lineRule="exact"/>
              <w:jc w:val="left"/>
              <w:rPr>
                <w:rFonts w:ascii="华文楷体" w:eastAsia="华文楷体" w:hAnsi="华文楷体"/>
                <w:szCs w:val="21"/>
              </w:rPr>
            </w:pPr>
            <w:r w:rsidRPr="00E4460C">
              <w:rPr>
                <w:rFonts w:ascii="华文楷体" w:eastAsia="华文楷体" w:hAnsi="华文楷体" w:hint="eastAsia"/>
                <w:color w:val="000000"/>
                <w:szCs w:val="21"/>
              </w:rPr>
              <w:t>管理学</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32"/>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财务管理</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702"/>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C12CDF"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税收筹划</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699"/>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国际税收</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50"/>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B82C8D">
            <w:pPr>
              <w:spacing w:line="200" w:lineRule="exact"/>
              <w:jc w:val="left"/>
              <w:rPr>
                <w:rFonts w:ascii="华文楷体" w:eastAsia="华文楷体" w:hAnsi="华文楷体"/>
                <w:color w:val="000000"/>
                <w:szCs w:val="21"/>
              </w:rPr>
            </w:pPr>
            <w:r w:rsidRPr="00E4460C">
              <w:rPr>
                <w:rFonts w:ascii="华文楷体" w:eastAsia="华文楷体" w:hAnsi="华文楷体" w:hint="eastAsia"/>
                <w:szCs w:val="21"/>
              </w:rPr>
              <w:t>规制经济学</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692"/>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产业政策研究</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52"/>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4F0EA9"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区域经济研究</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852"/>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公共政策分析</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1159"/>
          <w:jc w:val="center"/>
        </w:trPr>
        <w:tc>
          <w:tcPr>
            <w:tcW w:w="1496" w:type="dxa"/>
            <w:gridSpan w:val="2"/>
            <w:vMerge/>
            <w:vAlign w:val="center"/>
          </w:tcPr>
          <w:p w:rsidR="00B82C8D" w:rsidRPr="00E4460C" w:rsidRDefault="00B82C8D" w:rsidP="00B82C8D">
            <w:pPr>
              <w:spacing w:line="240" w:lineRule="atLeast"/>
              <w:jc w:val="left"/>
              <w:rPr>
                <w:rFonts w:ascii="华文楷体" w:eastAsia="华文楷体" w:hAnsi="华文楷体"/>
                <w:szCs w:val="21"/>
              </w:rPr>
            </w:pPr>
          </w:p>
        </w:tc>
        <w:tc>
          <w:tcPr>
            <w:tcW w:w="1233" w:type="dxa"/>
            <w:vMerge/>
            <w:vAlign w:val="center"/>
          </w:tcPr>
          <w:p w:rsidR="00B82C8D" w:rsidRPr="00E4460C" w:rsidRDefault="00B82C8D" w:rsidP="00B82C8D">
            <w:pPr>
              <w:spacing w:line="200" w:lineRule="exact"/>
              <w:jc w:val="left"/>
              <w:rPr>
                <w:rFonts w:ascii="华文楷体" w:eastAsia="华文楷体" w:hAnsi="华文楷体"/>
                <w:spacing w:val="-8"/>
                <w:szCs w:val="21"/>
              </w:rPr>
            </w:pPr>
          </w:p>
        </w:tc>
        <w:tc>
          <w:tcPr>
            <w:tcW w:w="1603" w:type="dxa"/>
            <w:vAlign w:val="center"/>
          </w:tcPr>
          <w:p w:rsidR="00B82C8D" w:rsidRPr="00E4460C" w:rsidRDefault="006850B0"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公共选择理论</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36</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1223" w:type="dxa"/>
            <w:vAlign w:val="center"/>
          </w:tcPr>
          <w:p w:rsidR="00B82C8D" w:rsidRPr="00E4460C" w:rsidRDefault="00B82C8D" w:rsidP="00B82C8D">
            <w:pPr>
              <w:adjustRightInd w:val="0"/>
              <w:snapToGrid w:val="0"/>
              <w:spacing w:line="200" w:lineRule="exact"/>
              <w:ind w:leftChars="-27" w:left="-57" w:right="-57"/>
              <w:jc w:val="left"/>
              <w:rPr>
                <w:rFonts w:ascii="华文楷体" w:eastAsia="华文楷体" w:hAnsi="华文楷体"/>
                <w:szCs w:val="21"/>
              </w:rPr>
            </w:pPr>
          </w:p>
        </w:tc>
      </w:tr>
      <w:tr w:rsidR="00B82C8D" w:rsidRPr="003A21F5" w:rsidTr="00E4460C">
        <w:trPr>
          <w:cantSplit/>
          <w:trHeight w:val="626"/>
          <w:jc w:val="center"/>
        </w:trPr>
        <w:tc>
          <w:tcPr>
            <w:tcW w:w="1496" w:type="dxa"/>
            <w:gridSpan w:val="2"/>
            <w:vMerge w:val="restart"/>
            <w:vAlign w:val="center"/>
          </w:tcPr>
          <w:p w:rsidR="00B82C8D" w:rsidRPr="00E4460C" w:rsidRDefault="00B82C8D" w:rsidP="00B82C8D">
            <w:pPr>
              <w:spacing w:line="240" w:lineRule="atLeast"/>
              <w:jc w:val="center"/>
              <w:rPr>
                <w:rFonts w:ascii="华文楷体" w:eastAsia="华文楷体" w:hAnsi="华文楷体"/>
                <w:szCs w:val="21"/>
              </w:rPr>
            </w:pPr>
            <w:r w:rsidRPr="00E4460C">
              <w:rPr>
                <w:rFonts w:ascii="华文楷体" w:eastAsia="华文楷体" w:hAnsi="华文楷体" w:hint="eastAsia"/>
                <w:szCs w:val="21"/>
              </w:rPr>
              <w:t>补修课程</w:t>
            </w:r>
          </w:p>
        </w:tc>
        <w:tc>
          <w:tcPr>
            <w:tcW w:w="123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西方经济学</w:t>
            </w:r>
          </w:p>
        </w:tc>
        <w:tc>
          <w:tcPr>
            <w:tcW w:w="1603" w:type="dxa"/>
            <w:vMerge w:val="restart"/>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709" w:type="dxa"/>
            <w:vMerge w:val="restart"/>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12</w:t>
            </w:r>
          </w:p>
        </w:tc>
        <w:tc>
          <w:tcPr>
            <w:tcW w:w="623" w:type="dxa"/>
            <w:vMerge w:val="restart"/>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 xml:space="preserve"> 72</w:t>
            </w:r>
          </w:p>
        </w:tc>
        <w:tc>
          <w:tcPr>
            <w:tcW w:w="721" w:type="dxa"/>
            <w:vMerge w:val="restart"/>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根据本课授课在1、2 学期修完</w:t>
            </w: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w:t>
            </w:r>
          </w:p>
        </w:tc>
        <w:tc>
          <w:tcPr>
            <w:tcW w:w="1223" w:type="dxa"/>
            <w:vMerge w:val="restart"/>
            <w:vAlign w:val="center"/>
          </w:tcPr>
          <w:p w:rsidR="00B82C8D" w:rsidRPr="00E4460C" w:rsidRDefault="00B82C8D" w:rsidP="00B82C8D">
            <w:pPr>
              <w:spacing w:line="200" w:lineRule="exact"/>
              <w:ind w:leftChars="-27" w:left="-57" w:right="-57"/>
              <w:jc w:val="left"/>
              <w:rPr>
                <w:rFonts w:ascii="华文楷体" w:eastAsia="华文楷体" w:hAnsi="华文楷体"/>
                <w:szCs w:val="21"/>
              </w:rPr>
            </w:pPr>
            <w:r w:rsidRPr="00E4460C">
              <w:rPr>
                <w:rFonts w:ascii="华文楷体" w:eastAsia="华文楷体" w:hAnsi="华文楷体" w:hint="eastAsia"/>
                <w:szCs w:val="21"/>
              </w:rPr>
              <w:t>学院安排研究生补修有关课程，不记学分。</w:t>
            </w:r>
          </w:p>
        </w:tc>
      </w:tr>
      <w:tr w:rsidR="00B82C8D" w:rsidRPr="003A21F5" w:rsidTr="00E4460C">
        <w:trPr>
          <w:cantSplit/>
          <w:trHeight w:val="637"/>
          <w:jc w:val="center"/>
        </w:trPr>
        <w:tc>
          <w:tcPr>
            <w:tcW w:w="1496" w:type="dxa"/>
            <w:gridSpan w:val="2"/>
            <w:vMerge/>
            <w:vAlign w:val="center"/>
          </w:tcPr>
          <w:p w:rsidR="00B82C8D" w:rsidRPr="00E4460C" w:rsidRDefault="00B82C8D" w:rsidP="00B82C8D">
            <w:pPr>
              <w:spacing w:line="240" w:lineRule="atLeast"/>
              <w:jc w:val="center"/>
              <w:rPr>
                <w:rFonts w:ascii="华文楷体" w:eastAsia="华文楷体" w:hAnsi="华文楷体"/>
                <w:szCs w:val="21"/>
              </w:rPr>
            </w:pPr>
          </w:p>
        </w:tc>
        <w:tc>
          <w:tcPr>
            <w:tcW w:w="123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统计学</w:t>
            </w:r>
          </w:p>
        </w:tc>
        <w:tc>
          <w:tcPr>
            <w:tcW w:w="1603"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709"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623"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721" w:type="dxa"/>
            <w:vMerge/>
            <w:vAlign w:val="center"/>
          </w:tcPr>
          <w:p w:rsidR="00B82C8D" w:rsidRPr="00E4460C" w:rsidRDefault="00B82C8D" w:rsidP="00B82C8D">
            <w:pPr>
              <w:spacing w:line="200" w:lineRule="exact"/>
              <w:jc w:val="left"/>
              <w:rPr>
                <w:rFonts w:ascii="华文楷体" w:eastAsia="华文楷体" w:hAnsi="华文楷体"/>
                <w:szCs w:val="21"/>
              </w:rPr>
            </w:pP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讲授</w:t>
            </w: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考试</w:t>
            </w:r>
          </w:p>
        </w:tc>
        <w:tc>
          <w:tcPr>
            <w:tcW w:w="1223" w:type="dxa"/>
            <w:vMerge/>
            <w:vAlign w:val="center"/>
          </w:tcPr>
          <w:p w:rsidR="00B82C8D" w:rsidRPr="00E4460C" w:rsidRDefault="00B82C8D" w:rsidP="00B82C8D">
            <w:pPr>
              <w:spacing w:line="200" w:lineRule="exact"/>
              <w:ind w:leftChars="-27" w:left="-57" w:right="-57"/>
              <w:jc w:val="left"/>
              <w:rPr>
                <w:rFonts w:ascii="华文楷体" w:eastAsia="华文楷体" w:hAnsi="华文楷体"/>
                <w:szCs w:val="21"/>
              </w:rPr>
            </w:pPr>
          </w:p>
        </w:tc>
      </w:tr>
      <w:tr w:rsidR="00B82C8D" w:rsidRPr="003A21F5" w:rsidTr="00E4460C">
        <w:trPr>
          <w:cantSplit/>
          <w:trHeight w:val="450"/>
          <w:jc w:val="center"/>
        </w:trPr>
        <w:tc>
          <w:tcPr>
            <w:tcW w:w="1496" w:type="dxa"/>
            <w:gridSpan w:val="2"/>
            <w:vMerge w:val="restart"/>
            <w:vAlign w:val="center"/>
          </w:tcPr>
          <w:p w:rsidR="00B82C8D" w:rsidRPr="00E4460C" w:rsidRDefault="00B82C8D" w:rsidP="00B82C8D">
            <w:pPr>
              <w:spacing w:line="240" w:lineRule="atLeast"/>
              <w:jc w:val="center"/>
              <w:rPr>
                <w:rFonts w:ascii="华文楷体" w:eastAsia="华文楷体" w:hAnsi="华文楷体"/>
                <w:szCs w:val="21"/>
              </w:rPr>
            </w:pPr>
            <w:r w:rsidRPr="00E4460C">
              <w:rPr>
                <w:rFonts w:ascii="华文楷体" w:eastAsia="华文楷体" w:hAnsi="华文楷体" w:hint="eastAsia"/>
                <w:szCs w:val="21"/>
              </w:rPr>
              <w:t>其他环节</w:t>
            </w:r>
          </w:p>
        </w:tc>
        <w:tc>
          <w:tcPr>
            <w:tcW w:w="2836" w:type="dxa"/>
            <w:gridSpan w:val="2"/>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学年论文</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1、2 学年各一</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考查</w:t>
            </w:r>
          </w:p>
        </w:tc>
        <w:tc>
          <w:tcPr>
            <w:tcW w:w="1223" w:type="dxa"/>
            <w:vAlign w:val="center"/>
          </w:tcPr>
          <w:p w:rsidR="00B82C8D" w:rsidRPr="00E4460C" w:rsidRDefault="00B82C8D" w:rsidP="00B82C8D">
            <w:pPr>
              <w:spacing w:line="200" w:lineRule="exact"/>
              <w:ind w:leftChars="-27" w:left="-57" w:right="-57"/>
              <w:jc w:val="left"/>
              <w:rPr>
                <w:rFonts w:ascii="华文楷体" w:eastAsia="华文楷体" w:hAnsi="华文楷体"/>
                <w:szCs w:val="21"/>
              </w:rPr>
            </w:pPr>
          </w:p>
        </w:tc>
      </w:tr>
      <w:tr w:rsidR="00B82C8D" w:rsidRPr="003A21F5" w:rsidTr="00E4460C">
        <w:trPr>
          <w:cantSplit/>
          <w:trHeight w:val="450"/>
          <w:jc w:val="center"/>
        </w:trPr>
        <w:tc>
          <w:tcPr>
            <w:tcW w:w="1496" w:type="dxa"/>
            <w:gridSpan w:val="2"/>
            <w:vMerge/>
            <w:vAlign w:val="center"/>
          </w:tcPr>
          <w:p w:rsidR="00B82C8D" w:rsidRPr="00E4460C" w:rsidRDefault="00B82C8D" w:rsidP="00B82C8D">
            <w:pPr>
              <w:spacing w:line="240" w:lineRule="atLeast"/>
              <w:jc w:val="center"/>
              <w:rPr>
                <w:rFonts w:ascii="华文楷体" w:eastAsia="华文楷体" w:hAnsi="华文楷体"/>
                <w:szCs w:val="21"/>
              </w:rPr>
            </w:pPr>
          </w:p>
        </w:tc>
        <w:tc>
          <w:tcPr>
            <w:tcW w:w="2836" w:type="dxa"/>
            <w:gridSpan w:val="2"/>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读书报告</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2</w:t>
            </w: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1、2 学年各一</w:t>
            </w: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p>
        </w:tc>
        <w:tc>
          <w:tcPr>
            <w:tcW w:w="764" w:type="dxa"/>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考查</w:t>
            </w:r>
          </w:p>
        </w:tc>
        <w:tc>
          <w:tcPr>
            <w:tcW w:w="1223" w:type="dxa"/>
            <w:vAlign w:val="center"/>
          </w:tcPr>
          <w:p w:rsidR="00B82C8D" w:rsidRPr="00E4460C" w:rsidRDefault="00B82C8D" w:rsidP="00B82C8D">
            <w:pPr>
              <w:spacing w:line="200" w:lineRule="exact"/>
              <w:ind w:leftChars="-27" w:left="-57" w:right="-57"/>
              <w:jc w:val="left"/>
              <w:rPr>
                <w:rFonts w:ascii="华文楷体" w:eastAsia="华文楷体" w:hAnsi="华文楷体"/>
                <w:szCs w:val="21"/>
              </w:rPr>
            </w:pPr>
          </w:p>
        </w:tc>
      </w:tr>
      <w:tr w:rsidR="00B82C8D" w:rsidRPr="003A21F5" w:rsidTr="00E4460C">
        <w:trPr>
          <w:cantSplit/>
          <w:trHeight w:val="427"/>
          <w:jc w:val="center"/>
        </w:trPr>
        <w:tc>
          <w:tcPr>
            <w:tcW w:w="1496" w:type="dxa"/>
            <w:gridSpan w:val="2"/>
            <w:vMerge/>
            <w:vAlign w:val="center"/>
          </w:tcPr>
          <w:p w:rsidR="00B82C8D" w:rsidRPr="00E4460C" w:rsidRDefault="00B82C8D" w:rsidP="00B82C8D">
            <w:pPr>
              <w:spacing w:line="240" w:lineRule="atLeast"/>
              <w:jc w:val="center"/>
              <w:rPr>
                <w:rFonts w:ascii="华文楷体" w:eastAsia="华文楷体" w:hAnsi="华文楷体"/>
                <w:szCs w:val="21"/>
              </w:rPr>
            </w:pPr>
          </w:p>
        </w:tc>
        <w:tc>
          <w:tcPr>
            <w:tcW w:w="2836" w:type="dxa"/>
            <w:gridSpan w:val="2"/>
            <w:vAlign w:val="center"/>
          </w:tcPr>
          <w:p w:rsidR="00B82C8D" w:rsidRPr="00E4460C" w:rsidRDefault="00B82C8D" w:rsidP="00B82C8D">
            <w:pPr>
              <w:spacing w:line="200" w:lineRule="exact"/>
              <w:jc w:val="left"/>
              <w:rPr>
                <w:rFonts w:ascii="华文楷体" w:eastAsia="华文楷体" w:hAnsi="华文楷体"/>
                <w:szCs w:val="21"/>
              </w:rPr>
            </w:pPr>
            <w:r w:rsidRPr="00E4460C">
              <w:rPr>
                <w:rFonts w:ascii="华文楷体" w:eastAsia="华文楷体" w:hAnsi="华文楷体" w:hint="eastAsia"/>
                <w:szCs w:val="21"/>
              </w:rPr>
              <w:t>社会实践</w:t>
            </w:r>
          </w:p>
        </w:tc>
        <w:tc>
          <w:tcPr>
            <w:tcW w:w="709" w:type="dxa"/>
            <w:vAlign w:val="center"/>
          </w:tcPr>
          <w:p w:rsidR="00B82C8D" w:rsidRPr="00E4460C" w:rsidRDefault="00B82C8D" w:rsidP="00B82C8D">
            <w:pPr>
              <w:spacing w:line="200" w:lineRule="exact"/>
              <w:jc w:val="left"/>
              <w:rPr>
                <w:rFonts w:ascii="华文楷体" w:eastAsia="华文楷体" w:hAnsi="华文楷体"/>
                <w:szCs w:val="21"/>
              </w:rPr>
            </w:pPr>
          </w:p>
        </w:tc>
        <w:tc>
          <w:tcPr>
            <w:tcW w:w="623" w:type="dxa"/>
            <w:vAlign w:val="center"/>
          </w:tcPr>
          <w:p w:rsidR="00B82C8D" w:rsidRPr="00E4460C" w:rsidRDefault="00B82C8D" w:rsidP="00B82C8D">
            <w:pPr>
              <w:spacing w:line="200" w:lineRule="exact"/>
              <w:jc w:val="left"/>
              <w:rPr>
                <w:rFonts w:ascii="华文楷体" w:eastAsia="华文楷体" w:hAnsi="华文楷体"/>
                <w:szCs w:val="21"/>
              </w:rPr>
            </w:pPr>
          </w:p>
        </w:tc>
        <w:tc>
          <w:tcPr>
            <w:tcW w:w="721" w:type="dxa"/>
            <w:vAlign w:val="center"/>
          </w:tcPr>
          <w:p w:rsidR="00B82C8D" w:rsidRPr="00E4460C" w:rsidRDefault="00B82C8D" w:rsidP="00B82C8D">
            <w:pPr>
              <w:spacing w:line="200" w:lineRule="exact"/>
              <w:jc w:val="left"/>
              <w:rPr>
                <w:rFonts w:ascii="华文楷体" w:eastAsia="华文楷体" w:hAnsi="华文楷体"/>
                <w:szCs w:val="21"/>
              </w:rPr>
            </w:pPr>
          </w:p>
        </w:tc>
        <w:tc>
          <w:tcPr>
            <w:tcW w:w="990" w:type="dxa"/>
            <w:vAlign w:val="center"/>
          </w:tcPr>
          <w:p w:rsidR="00B82C8D" w:rsidRPr="00E4460C" w:rsidRDefault="00B82C8D" w:rsidP="00B82C8D">
            <w:pPr>
              <w:spacing w:line="200" w:lineRule="exact"/>
              <w:jc w:val="left"/>
              <w:rPr>
                <w:rFonts w:ascii="华文楷体" w:eastAsia="华文楷体" w:hAnsi="华文楷体"/>
                <w:szCs w:val="21"/>
              </w:rPr>
            </w:pPr>
          </w:p>
        </w:tc>
        <w:tc>
          <w:tcPr>
            <w:tcW w:w="764" w:type="dxa"/>
            <w:vAlign w:val="center"/>
          </w:tcPr>
          <w:p w:rsidR="00B82C8D" w:rsidRPr="00E4460C" w:rsidRDefault="00B82C8D" w:rsidP="00B82C8D">
            <w:pPr>
              <w:spacing w:line="200" w:lineRule="exact"/>
              <w:jc w:val="left"/>
              <w:rPr>
                <w:rFonts w:ascii="华文楷体" w:eastAsia="华文楷体" w:hAnsi="华文楷体"/>
                <w:spacing w:val="-10"/>
                <w:szCs w:val="21"/>
              </w:rPr>
            </w:pPr>
            <w:r w:rsidRPr="00E4460C">
              <w:rPr>
                <w:rFonts w:ascii="华文楷体" w:eastAsia="华文楷体" w:hAnsi="华文楷体" w:hint="eastAsia"/>
                <w:spacing w:val="-10"/>
                <w:szCs w:val="21"/>
              </w:rPr>
              <w:t>考查</w:t>
            </w:r>
          </w:p>
        </w:tc>
        <w:tc>
          <w:tcPr>
            <w:tcW w:w="1223" w:type="dxa"/>
            <w:vAlign w:val="center"/>
          </w:tcPr>
          <w:p w:rsidR="00B82C8D" w:rsidRPr="00E4460C" w:rsidRDefault="00B82C8D" w:rsidP="00B82C8D">
            <w:pPr>
              <w:spacing w:line="200" w:lineRule="exact"/>
              <w:ind w:leftChars="-27" w:left="-57" w:right="-57"/>
              <w:jc w:val="left"/>
              <w:rPr>
                <w:rFonts w:ascii="华文楷体" w:eastAsia="华文楷体" w:hAnsi="华文楷体"/>
                <w:spacing w:val="-8"/>
                <w:szCs w:val="21"/>
              </w:rPr>
            </w:pPr>
          </w:p>
        </w:tc>
      </w:tr>
    </w:tbl>
    <w:p w:rsidR="00990365" w:rsidRPr="00E4460C" w:rsidRDefault="00990365"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color w:val="181818"/>
          <w:sz w:val="28"/>
          <w:szCs w:val="28"/>
        </w:rPr>
        <w:t>（四）培养和学位的基本要求</w:t>
      </w:r>
    </w:p>
    <w:p w:rsidR="002845CD" w:rsidRPr="00E4460C" w:rsidRDefault="002845CD"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1、培养年限：硕士研究生基准学制为三年</w:t>
      </w:r>
      <w:r w:rsidR="00DB1FEE" w:rsidRPr="00E4460C">
        <w:rPr>
          <w:rFonts w:ascii="仿宋_GB2312" w:eastAsia="仿宋_GB2312" w:cs="AdobeHeitiStd-Regular" w:hint="eastAsia"/>
          <w:color w:val="181818"/>
          <w:sz w:val="28"/>
          <w:szCs w:val="28"/>
        </w:rPr>
        <w:t>，</w:t>
      </w:r>
      <w:r w:rsidRPr="00E4460C">
        <w:rPr>
          <w:rFonts w:ascii="仿宋_GB2312" w:eastAsia="仿宋_GB2312" w:cs="AdobeHeitiStd-Regular" w:hint="eastAsia"/>
          <w:color w:val="181818"/>
          <w:sz w:val="28"/>
          <w:szCs w:val="28"/>
        </w:rPr>
        <w:t>最长学习年限为四年。提前完成培养计划，成绩特别优秀的，可提前一年毕业。研究生申请先毕业再申请学位的，须完成培养方案规定的环节和毕业论文的写作，通过原创性检查，符合规定标准，并按照规定的程序申请，经导师签署意见、学院审核和研究生院审批后方可毕业。在规定的最长期限内不能完成全部学业的，以结业论。学位申请工作按学校学位办相关规定执行。</w:t>
      </w:r>
    </w:p>
    <w:p w:rsidR="00D73527" w:rsidRPr="00E4460C" w:rsidRDefault="002845CD"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2、培养环节与要求：研究生的培养包括课程学习和毕业论文的写作以及实习。课程学习实行学分制，硕士生课程学分不少于29学分，总学分不少于35学分。补修课是跨学科和以同等学力考取的硕士研究生按国家规定应补修2门大学本科主要课程。课程按合格不合格计，不计学分。研究生毕业前选修学分应达到10学分，其中本学科专业选修课至少6学分</w:t>
      </w:r>
    </w:p>
    <w:p w:rsidR="004C46AC" w:rsidRPr="00E4460C" w:rsidRDefault="002845CD"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3、质量保障措施</w:t>
      </w:r>
      <w:r w:rsidR="004C46AC" w:rsidRPr="00E4460C">
        <w:rPr>
          <w:rFonts w:ascii="仿宋_GB2312" w:eastAsia="仿宋_GB2312" w:cs="AdobeHeitiStd-Regular" w:hint="eastAsia"/>
          <w:color w:val="181818"/>
          <w:sz w:val="28"/>
          <w:szCs w:val="28"/>
        </w:rPr>
        <w:t>：（1）成立由校内导师负责、聘请具有高级专业技术职称的经济专家参加共同组成的教学指导小组。采取校内导师个人负责制和导师组集体培养相结合的培养方式，指导研究生的课程</w:t>
      </w:r>
      <w:r w:rsidR="004C46AC" w:rsidRPr="00E4460C">
        <w:rPr>
          <w:rFonts w:ascii="仿宋_GB2312" w:eastAsia="仿宋_GB2312" w:cs="AdobeHeitiStd-Regular" w:hint="eastAsia"/>
          <w:color w:val="181818"/>
          <w:sz w:val="28"/>
          <w:szCs w:val="28"/>
        </w:rPr>
        <w:lastRenderedPageBreak/>
        <w:t>学习、业务实习、社会调查和论文写作。要求研究生刻苦攻读、勤于思考、认真钻研，注重理论联系实际，提高分析问题和解决问题的能力、以及创新能力和语言文字的表达能力。（2）专业课教学，要按教学大纲进行，并积极创造条件逐步编写出适合研究生教学需要的教学用书。教学中要加强教学内容和方法的改革。要不断革新教学内容。紧追国外本学科的学术前沿。要注重理论联系实际，采用生动活泼的教学方式，加强研究生专业素质和综合能力的培养。（3）在教学过程中，要采取多种方式，积极创造条件，鼓励和引导研究生参加本学科学术或业务问题的研讨会和报告会，参加本学科科研课题的调查研究和科研论文写作，参加本专业教研室的科研活动。鼓励学生积极向报刊投稿。对研究生学年论文要严格要求、悉心指导，进行考核或讲评。</w:t>
      </w:r>
    </w:p>
    <w:p w:rsidR="00CC1F76" w:rsidRPr="00E4460C" w:rsidRDefault="004C46AC"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4、学位论文的基本要求：（1</w:t>
      </w:r>
      <w:r w:rsidRPr="00E4460C">
        <w:rPr>
          <w:rFonts w:ascii="仿宋_GB2312" w:eastAsia="仿宋_GB2312" w:cs="AdobeHeitiStd-Regular"/>
          <w:color w:val="181818"/>
          <w:sz w:val="28"/>
          <w:szCs w:val="28"/>
        </w:rPr>
        <w:t>）</w:t>
      </w:r>
      <w:r w:rsidRPr="00E4460C">
        <w:rPr>
          <w:rFonts w:ascii="仿宋_GB2312" w:eastAsia="仿宋_GB2312" w:cs="AdobeHeitiStd-Regular" w:hint="eastAsia"/>
          <w:color w:val="181818"/>
          <w:sz w:val="28"/>
          <w:szCs w:val="28"/>
        </w:rPr>
        <w:t>学位论文在指导教师悉心指导下，由研究生本人独立完成。学位论文的选题要从所学专业研究方向出发，紧密结合我国经济建设和经济体制改革实际，重点研究本学科重大理论问题和实际问题。学位论文的选题要尽可能与本人历年的学年论文具有相关性、连续性。学位论文选题应在第四学期末认真确定。学位论文研究与撰写的内容力求富有创见，具有较高的理论价值或实用意义。学位水平应达到国家学位条例对硕士论文的要求，严禁抄袭剽窃，格式要符合规定，字数应达到3万字左右。(2) 学位论文的形式，可以是专题研究，也可以是高质量的专题调查研究报告。</w:t>
      </w:r>
    </w:p>
    <w:p w:rsidR="00990365" w:rsidRPr="00197EB7" w:rsidRDefault="00990365" w:rsidP="00197EB7">
      <w:pPr>
        <w:ind w:firstLineChars="200" w:firstLine="602"/>
        <w:rPr>
          <w:rFonts w:eastAsia="仿宋_GB2312"/>
          <w:b/>
          <w:bCs/>
          <w:color w:val="000000"/>
          <w:sz w:val="30"/>
          <w:szCs w:val="30"/>
        </w:rPr>
      </w:pPr>
      <w:r w:rsidRPr="00197EB7">
        <w:rPr>
          <w:rFonts w:eastAsia="仿宋_GB2312"/>
          <w:b/>
          <w:bCs/>
          <w:color w:val="000000"/>
          <w:sz w:val="30"/>
          <w:szCs w:val="30"/>
        </w:rPr>
        <w:t>四、该学科的建设规划</w:t>
      </w:r>
    </w:p>
    <w:p w:rsidR="006850B0" w:rsidRPr="00E4460C" w:rsidRDefault="006850B0"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1、研究方向的设立：</w:t>
      </w:r>
    </w:p>
    <w:p w:rsidR="00E7374E" w:rsidRPr="00E4460C" w:rsidRDefault="00E7374E"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color w:val="181818"/>
          <w:sz w:val="28"/>
          <w:szCs w:val="28"/>
        </w:rPr>
        <w:t>根据培养应用型、开拓型、创新型的复合型人才的需要，结合学术带头人的科研基础与相关成果，本着学术梯队资源优化配置的原则，以体现财政学学科的优势与培养特点。财政学专业暂时设置</w:t>
      </w:r>
      <w:r w:rsidRPr="00E4460C">
        <w:rPr>
          <w:rFonts w:ascii="仿宋_GB2312" w:eastAsia="仿宋_GB2312" w:cs="AdobeHeitiStd-Regular" w:hint="eastAsia"/>
          <w:color w:val="181818"/>
          <w:sz w:val="28"/>
          <w:szCs w:val="28"/>
        </w:rPr>
        <w:t>三</w:t>
      </w:r>
      <w:r w:rsidRPr="00E4460C">
        <w:rPr>
          <w:rFonts w:ascii="仿宋_GB2312" w:eastAsia="仿宋_GB2312" w:cs="AdobeHeitiStd-Regular"/>
          <w:color w:val="181818"/>
          <w:sz w:val="28"/>
          <w:szCs w:val="28"/>
        </w:rPr>
        <w:t>个研究方向：</w:t>
      </w:r>
    </w:p>
    <w:p w:rsidR="00E7374E" w:rsidRPr="00E4460C" w:rsidRDefault="006850B0"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（1）</w:t>
      </w:r>
      <w:r w:rsidR="00E7374E" w:rsidRPr="00E4460C">
        <w:rPr>
          <w:rFonts w:ascii="仿宋_GB2312" w:eastAsia="仿宋_GB2312" w:cs="AdobeHeitiStd-Regular" w:hint="eastAsia"/>
          <w:color w:val="181818"/>
          <w:sz w:val="28"/>
          <w:szCs w:val="28"/>
        </w:rPr>
        <w:t>财税理论与政策：</w:t>
      </w:r>
      <w:r w:rsidR="00E7374E" w:rsidRPr="00E4460C">
        <w:rPr>
          <w:rFonts w:ascii="仿宋_GB2312" w:eastAsia="仿宋_GB2312" w:cs="AdobeHeitiStd-Regular"/>
          <w:color w:val="181818"/>
          <w:sz w:val="28"/>
          <w:szCs w:val="28"/>
        </w:rPr>
        <w:t>本方向</w:t>
      </w:r>
      <w:r w:rsidR="00E7374E" w:rsidRPr="00E4460C">
        <w:rPr>
          <w:rFonts w:ascii="仿宋_GB2312" w:eastAsia="仿宋_GB2312" w:cs="AdobeHeitiStd-Regular" w:hint="eastAsia"/>
          <w:color w:val="181818"/>
          <w:sz w:val="28"/>
          <w:szCs w:val="28"/>
        </w:rPr>
        <w:t>运用现代经济学的研究方法和工</w:t>
      </w:r>
      <w:r w:rsidR="00E7374E" w:rsidRPr="00E4460C">
        <w:rPr>
          <w:rFonts w:ascii="仿宋_GB2312" w:eastAsia="仿宋_GB2312" w:cs="AdobeHeitiStd-Regular" w:hint="eastAsia"/>
          <w:color w:val="181818"/>
          <w:sz w:val="28"/>
          <w:szCs w:val="28"/>
        </w:rPr>
        <w:lastRenderedPageBreak/>
        <w:t>具，主要研究与市场经济相关的公共产品理论、公共财政职能、公共选择和公共部门效率等理论；研究财政运行机制、财政政策以及财政宏观调控体系与政策的制定、实施和评价工具；通过</w:t>
      </w:r>
      <w:r w:rsidR="00E7374E" w:rsidRPr="00E4460C">
        <w:rPr>
          <w:rFonts w:ascii="仿宋_GB2312" w:eastAsia="仿宋_GB2312" w:cs="AdobeHeitiStd-Regular"/>
          <w:color w:val="181818"/>
          <w:sz w:val="28"/>
          <w:szCs w:val="28"/>
        </w:rPr>
        <w:t>跟踪当代中外财</w:t>
      </w:r>
      <w:r w:rsidR="00E7374E" w:rsidRPr="00E4460C">
        <w:rPr>
          <w:rFonts w:ascii="仿宋_GB2312" w:eastAsia="仿宋_GB2312" w:cs="AdobeHeitiStd-Regular" w:hint="eastAsia"/>
          <w:color w:val="181818"/>
          <w:sz w:val="28"/>
          <w:szCs w:val="28"/>
        </w:rPr>
        <w:t>税</w:t>
      </w:r>
      <w:r w:rsidR="00E7374E" w:rsidRPr="00E4460C">
        <w:rPr>
          <w:rFonts w:ascii="仿宋_GB2312" w:eastAsia="仿宋_GB2312" w:cs="AdobeHeitiStd-Regular"/>
          <w:color w:val="181818"/>
          <w:sz w:val="28"/>
          <w:szCs w:val="28"/>
        </w:rPr>
        <w:t>理论前沿，</w:t>
      </w:r>
      <w:r w:rsidR="00E7374E" w:rsidRPr="00E4460C">
        <w:rPr>
          <w:rFonts w:ascii="仿宋_GB2312" w:eastAsia="仿宋_GB2312" w:cs="AdobeHeitiStd-Regular" w:hint="eastAsia"/>
          <w:color w:val="181818"/>
          <w:sz w:val="28"/>
          <w:szCs w:val="28"/>
        </w:rPr>
        <w:t>掌握</w:t>
      </w:r>
      <w:r w:rsidR="00E7374E" w:rsidRPr="00E4460C">
        <w:rPr>
          <w:rFonts w:ascii="仿宋_GB2312" w:eastAsia="仿宋_GB2312" w:cs="AdobeHeitiStd-Regular"/>
          <w:color w:val="181818"/>
          <w:sz w:val="28"/>
          <w:szCs w:val="28"/>
        </w:rPr>
        <w:t>中外财</w:t>
      </w:r>
      <w:r w:rsidR="00E7374E" w:rsidRPr="00E4460C">
        <w:rPr>
          <w:rFonts w:ascii="仿宋_GB2312" w:eastAsia="仿宋_GB2312" w:cs="AdobeHeitiStd-Regular" w:hint="eastAsia"/>
          <w:color w:val="181818"/>
          <w:sz w:val="28"/>
          <w:szCs w:val="28"/>
        </w:rPr>
        <w:t>税</w:t>
      </w:r>
      <w:r w:rsidR="00E7374E" w:rsidRPr="00E4460C">
        <w:rPr>
          <w:rFonts w:ascii="仿宋_GB2312" w:eastAsia="仿宋_GB2312" w:cs="AdobeHeitiStd-Regular"/>
          <w:color w:val="181818"/>
          <w:sz w:val="28"/>
          <w:szCs w:val="28"/>
        </w:rPr>
        <w:t>政策的</w:t>
      </w:r>
      <w:r w:rsidR="00E7374E" w:rsidRPr="00E4460C">
        <w:rPr>
          <w:rFonts w:ascii="仿宋_GB2312" w:eastAsia="仿宋_GB2312" w:cs="AdobeHeitiStd-Regular" w:hint="eastAsia"/>
          <w:color w:val="181818"/>
          <w:sz w:val="28"/>
          <w:szCs w:val="28"/>
        </w:rPr>
        <w:t>具体实施</w:t>
      </w:r>
      <w:r w:rsidR="00E7374E" w:rsidRPr="00E4460C">
        <w:rPr>
          <w:rFonts w:ascii="仿宋_GB2312" w:eastAsia="仿宋_GB2312" w:cs="AdobeHeitiStd-Regular"/>
          <w:color w:val="181818"/>
          <w:sz w:val="28"/>
          <w:szCs w:val="28"/>
        </w:rPr>
        <w:t>内容，</w:t>
      </w:r>
      <w:r w:rsidR="00E7374E" w:rsidRPr="00E4460C">
        <w:rPr>
          <w:rFonts w:ascii="仿宋_GB2312" w:eastAsia="仿宋_GB2312" w:cs="AdobeHeitiStd-Regular" w:hint="eastAsia"/>
          <w:color w:val="181818"/>
          <w:sz w:val="28"/>
          <w:szCs w:val="28"/>
        </w:rPr>
        <w:t>突出财政政策与其他经济政策的协调与配合。</w:t>
      </w:r>
    </w:p>
    <w:p w:rsidR="00E7374E" w:rsidRPr="00E4460C" w:rsidRDefault="006850B0"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（2）</w:t>
      </w:r>
      <w:r w:rsidR="00E7374E" w:rsidRPr="00E4460C">
        <w:rPr>
          <w:rFonts w:ascii="仿宋_GB2312" w:eastAsia="仿宋_GB2312" w:cs="AdobeHeitiStd-Regular" w:hint="eastAsia"/>
          <w:color w:val="181818"/>
          <w:sz w:val="28"/>
          <w:szCs w:val="28"/>
        </w:rPr>
        <w:t>财政投资与融资：</w:t>
      </w:r>
      <w:r w:rsidR="00E7374E" w:rsidRPr="00E4460C">
        <w:rPr>
          <w:rFonts w:ascii="仿宋_GB2312" w:eastAsia="仿宋_GB2312" w:cs="AdobeHeitiStd-Regular"/>
          <w:color w:val="181818"/>
          <w:sz w:val="28"/>
          <w:szCs w:val="28"/>
        </w:rPr>
        <w:t>本方向</w:t>
      </w:r>
      <w:r w:rsidR="00E7374E" w:rsidRPr="00E4460C">
        <w:rPr>
          <w:rFonts w:ascii="仿宋_GB2312" w:eastAsia="仿宋_GB2312" w:cs="AdobeHeitiStd-Regular" w:hint="eastAsia"/>
          <w:color w:val="181818"/>
          <w:sz w:val="28"/>
          <w:szCs w:val="28"/>
        </w:rPr>
        <w:t>主要研究从中央到地方各级政府财政的投资领域、方式以及税收、收费、债务等多种融资管理制度的制定、实施与评价等内容。通过</w:t>
      </w:r>
      <w:r w:rsidR="00E7374E" w:rsidRPr="00E4460C">
        <w:rPr>
          <w:rFonts w:ascii="仿宋_GB2312" w:eastAsia="仿宋_GB2312" w:cs="AdobeHeitiStd-Regular"/>
          <w:color w:val="181818"/>
          <w:sz w:val="28"/>
          <w:szCs w:val="28"/>
        </w:rPr>
        <w:t>系统地掌握</w:t>
      </w:r>
      <w:r w:rsidR="00E7374E" w:rsidRPr="00E4460C">
        <w:rPr>
          <w:rFonts w:ascii="仿宋_GB2312" w:eastAsia="仿宋_GB2312" w:cs="AdobeHeitiStd-Regular" w:hint="eastAsia"/>
          <w:color w:val="181818"/>
          <w:sz w:val="28"/>
          <w:szCs w:val="28"/>
        </w:rPr>
        <w:t>财政投融资的</w:t>
      </w:r>
      <w:r w:rsidR="00E7374E" w:rsidRPr="00E4460C">
        <w:rPr>
          <w:rFonts w:ascii="仿宋_GB2312" w:eastAsia="仿宋_GB2312" w:cs="AdobeHeitiStd-Regular"/>
          <w:color w:val="181818"/>
          <w:sz w:val="28"/>
          <w:szCs w:val="28"/>
        </w:rPr>
        <w:t>基本理论，熟悉现代金融体系与金融实践，</w:t>
      </w:r>
      <w:r w:rsidR="00E7374E" w:rsidRPr="00E4460C">
        <w:rPr>
          <w:rFonts w:ascii="仿宋_GB2312" w:eastAsia="仿宋_GB2312" w:cs="AdobeHeitiStd-Regular" w:hint="eastAsia"/>
          <w:color w:val="181818"/>
          <w:sz w:val="28"/>
          <w:szCs w:val="28"/>
        </w:rPr>
        <w:t>结合财政</w:t>
      </w:r>
      <w:r w:rsidR="00E7374E" w:rsidRPr="00E4460C">
        <w:rPr>
          <w:rFonts w:ascii="仿宋_GB2312" w:eastAsia="仿宋_GB2312" w:cs="AdobeHeitiStd-Regular"/>
          <w:color w:val="181818"/>
          <w:sz w:val="28"/>
          <w:szCs w:val="28"/>
        </w:rPr>
        <w:t>投融资的国际经验</w:t>
      </w:r>
      <w:r w:rsidR="00E7374E" w:rsidRPr="00E4460C">
        <w:rPr>
          <w:rFonts w:ascii="仿宋_GB2312" w:eastAsia="仿宋_GB2312" w:cs="AdobeHeitiStd-Regular" w:hint="eastAsia"/>
          <w:color w:val="181818"/>
          <w:sz w:val="28"/>
          <w:szCs w:val="28"/>
        </w:rPr>
        <w:t>与教训</w:t>
      </w:r>
      <w:r w:rsidR="00E7374E" w:rsidRPr="00E4460C">
        <w:rPr>
          <w:rFonts w:ascii="仿宋_GB2312" w:eastAsia="仿宋_GB2312" w:cs="AdobeHeitiStd-Regular"/>
          <w:color w:val="181818"/>
          <w:sz w:val="28"/>
          <w:szCs w:val="28"/>
        </w:rPr>
        <w:t>，</w:t>
      </w:r>
      <w:r w:rsidR="00E7374E" w:rsidRPr="00E4460C">
        <w:rPr>
          <w:rFonts w:ascii="仿宋_GB2312" w:eastAsia="仿宋_GB2312" w:cs="AdobeHeitiStd-Regular" w:hint="eastAsia"/>
          <w:color w:val="181818"/>
          <w:sz w:val="28"/>
          <w:szCs w:val="28"/>
        </w:rPr>
        <w:t>运用先进的管理方式和方法，提高财政</w:t>
      </w:r>
      <w:r w:rsidR="00E7374E" w:rsidRPr="00E4460C">
        <w:rPr>
          <w:rFonts w:ascii="仿宋_GB2312" w:eastAsia="仿宋_GB2312" w:cs="AdobeHeitiStd-Regular"/>
          <w:color w:val="181818"/>
          <w:sz w:val="28"/>
          <w:szCs w:val="28"/>
        </w:rPr>
        <w:t>投融资在投融资体系和宏观调控中的</w:t>
      </w:r>
      <w:r w:rsidR="00E7374E" w:rsidRPr="00E4460C">
        <w:rPr>
          <w:rFonts w:ascii="仿宋_GB2312" w:eastAsia="仿宋_GB2312" w:cs="AdobeHeitiStd-Regular" w:hint="eastAsia"/>
          <w:color w:val="181818"/>
          <w:sz w:val="28"/>
          <w:szCs w:val="28"/>
        </w:rPr>
        <w:t>积极</w:t>
      </w:r>
      <w:r w:rsidR="00E7374E" w:rsidRPr="00E4460C">
        <w:rPr>
          <w:rFonts w:ascii="仿宋_GB2312" w:eastAsia="仿宋_GB2312" w:cs="AdobeHeitiStd-Regular"/>
          <w:color w:val="181818"/>
          <w:sz w:val="28"/>
          <w:szCs w:val="28"/>
        </w:rPr>
        <w:t>作用</w:t>
      </w:r>
      <w:r w:rsidR="00E7374E" w:rsidRPr="00E4460C">
        <w:rPr>
          <w:rFonts w:ascii="仿宋_GB2312" w:eastAsia="仿宋_GB2312" w:cs="AdobeHeitiStd-Regular" w:hint="eastAsia"/>
          <w:color w:val="181818"/>
          <w:sz w:val="28"/>
          <w:szCs w:val="28"/>
        </w:rPr>
        <w:t>。</w:t>
      </w:r>
    </w:p>
    <w:p w:rsidR="00E7374E" w:rsidRPr="00E4460C" w:rsidRDefault="006850B0"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（3）</w:t>
      </w:r>
      <w:r w:rsidR="00E7374E" w:rsidRPr="00E4460C">
        <w:rPr>
          <w:rFonts w:ascii="仿宋_GB2312" w:eastAsia="仿宋_GB2312" w:cs="AdobeHeitiStd-Regular" w:hint="eastAsia"/>
          <w:color w:val="181818"/>
          <w:sz w:val="28"/>
          <w:szCs w:val="28"/>
        </w:rPr>
        <w:t>财税制度与法治（含税收筹划）：本方向将财税基础理论与会计基础理论、法学理论相融合，更注重从管理学和法学的多重角度进行分析，结合中外财税管理的具体法律法规制度，既为政府财税制度的优化提供参考，又能为纳税人服务。</w:t>
      </w:r>
    </w:p>
    <w:p w:rsidR="00F257C7" w:rsidRPr="00E4460C" w:rsidRDefault="006850B0"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待今后条件成熟，可考虑进一步整合政治学、社会学等各方面的科研力量，逐步扩展和完善本学科的研究方向，例如可逐步建立社会保障制度与管理，国有资产管理，公共选择与预算管理等。</w:t>
      </w:r>
    </w:p>
    <w:p w:rsidR="006850B0" w:rsidRPr="00E4460C" w:rsidRDefault="004C46AC" w:rsidP="00E4460C">
      <w:pPr>
        <w:spacing w:line="500" w:lineRule="exact"/>
        <w:ind w:firstLineChars="200" w:firstLine="560"/>
        <w:rPr>
          <w:rFonts w:ascii="仿宋_GB2312" w:eastAsia="仿宋_GB2312" w:cs="AdobeHeitiStd-Regular"/>
          <w:color w:val="181818"/>
          <w:sz w:val="28"/>
          <w:szCs w:val="28"/>
        </w:rPr>
      </w:pPr>
      <w:bookmarkStart w:id="0" w:name="_Toc310009633"/>
      <w:bookmarkStart w:id="1" w:name="_Toc310009631"/>
      <w:r w:rsidRPr="00E4460C">
        <w:rPr>
          <w:rFonts w:ascii="仿宋_GB2312" w:eastAsia="仿宋_GB2312" w:cs="AdobeHeitiStd-Regular" w:hint="eastAsia"/>
          <w:color w:val="181818"/>
          <w:sz w:val="28"/>
          <w:szCs w:val="28"/>
        </w:rPr>
        <w:t>2、师资队伍的建设</w:t>
      </w:r>
      <w:bookmarkEnd w:id="0"/>
      <w:r w:rsidR="00E4695F" w:rsidRPr="00E4460C">
        <w:rPr>
          <w:rFonts w:ascii="仿宋_GB2312" w:eastAsia="仿宋_GB2312" w:cs="AdobeHeitiStd-Regular" w:hint="eastAsia"/>
          <w:color w:val="181818"/>
          <w:sz w:val="28"/>
          <w:szCs w:val="28"/>
        </w:rPr>
        <w:t>：</w:t>
      </w:r>
      <w:r w:rsidR="006850B0" w:rsidRPr="00E4460C">
        <w:rPr>
          <w:rFonts w:ascii="仿宋_GB2312" w:eastAsia="仿宋_GB2312" w:cs="AdobeHeitiStd-Regular" w:hint="eastAsia"/>
          <w:color w:val="181818"/>
          <w:sz w:val="28"/>
          <w:szCs w:val="28"/>
        </w:rPr>
        <w:t>迄今为止，在财政学二级学科方面已经形成了一支具有经济学、管理学、法学等相关学科带头人和学历层次高、知识结构合理的具有较强实力的学术研究团队，含教授4</w:t>
      </w:r>
      <w:r w:rsidR="006850B0" w:rsidRPr="00E4460C">
        <w:rPr>
          <w:rFonts w:ascii="仿宋_GB2312" w:eastAsia="仿宋_GB2312" w:cs="AdobeHeitiStd-Regular"/>
          <w:color w:val="181818"/>
          <w:sz w:val="28"/>
          <w:szCs w:val="28"/>
        </w:rPr>
        <w:t>人、副教授4人，</w:t>
      </w:r>
      <w:r w:rsidR="006850B0" w:rsidRPr="00E4460C">
        <w:rPr>
          <w:rFonts w:ascii="仿宋_GB2312" w:eastAsia="仿宋_GB2312" w:cs="AdobeHeitiStd-Regular" w:hint="eastAsia"/>
          <w:color w:val="181818"/>
          <w:sz w:val="28"/>
          <w:szCs w:val="28"/>
        </w:rPr>
        <w:t>讲师1人，绝大部分</w:t>
      </w:r>
      <w:r w:rsidR="006850B0" w:rsidRPr="00E4460C">
        <w:rPr>
          <w:rFonts w:ascii="仿宋_GB2312" w:eastAsia="仿宋_GB2312" w:cs="AdobeHeitiStd-Regular"/>
          <w:color w:val="181818"/>
          <w:sz w:val="28"/>
          <w:szCs w:val="28"/>
        </w:rPr>
        <w:t>具有博士学位</w:t>
      </w:r>
      <w:r w:rsidR="006850B0" w:rsidRPr="00E4460C">
        <w:rPr>
          <w:rFonts w:ascii="仿宋_GB2312" w:eastAsia="仿宋_GB2312" w:cs="AdobeHeitiStd-Regular" w:hint="eastAsia"/>
          <w:color w:val="181818"/>
          <w:sz w:val="28"/>
          <w:szCs w:val="28"/>
        </w:rPr>
        <w:t>且博士后出站</w:t>
      </w:r>
      <w:r w:rsidR="006850B0" w:rsidRPr="00E4460C">
        <w:rPr>
          <w:rFonts w:ascii="仿宋_GB2312" w:eastAsia="仿宋_GB2312" w:cs="AdobeHeitiStd-Regular"/>
          <w:color w:val="181818"/>
          <w:sz w:val="28"/>
          <w:szCs w:val="28"/>
        </w:rPr>
        <w:t>，90%以上的教师有国外研究经历。</w:t>
      </w:r>
      <w:r w:rsidR="003931A5" w:rsidRPr="00E4460C">
        <w:rPr>
          <w:rFonts w:ascii="仿宋_GB2312" w:eastAsia="仿宋_GB2312" w:cs="AdobeHeitiStd-Regular" w:hint="eastAsia"/>
          <w:color w:val="181818"/>
          <w:sz w:val="28"/>
          <w:szCs w:val="28"/>
        </w:rPr>
        <w:t>马丽娜教授、施正文教授、金仁淑教授、巫云仙教授都是各研究方向具有较强造诣的学者，而其他副教授和讲师，也都正在承担或参与着国家级或省部级的研究课题，其教学水平和教学效果也得到了全院学生的一致好评。</w:t>
      </w:r>
      <w:r w:rsidR="00F23CBB" w:rsidRPr="00E4460C">
        <w:rPr>
          <w:rFonts w:ascii="仿宋_GB2312" w:eastAsia="仿宋_GB2312" w:cs="AdobeHeitiStd-Regular" w:hint="eastAsia"/>
          <w:color w:val="181818"/>
          <w:sz w:val="28"/>
          <w:szCs w:val="28"/>
        </w:rPr>
        <w:t>今后，将随着学科的发展，继续补充拥有良好学术背景的年轻老师，并积极争取进一步吸引该学科</w:t>
      </w:r>
      <w:r w:rsidR="00F23CBB" w:rsidRPr="00E4460C">
        <w:rPr>
          <w:rFonts w:ascii="仿宋_GB2312" w:eastAsia="仿宋_GB2312" w:cs="AdobeHeitiStd-Regular" w:hint="eastAsia"/>
          <w:color w:val="181818"/>
          <w:sz w:val="28"/>
          <w:szCs w:val="28"/>
        </w:rPr>
        <w:lastRenderedPageBreak/>
        <w:t>领域内与我校研究特色相吻合的的学术带头人，增强我校在该领域的研究特色和学术影响力。</w:t>
      </w:r>
    </w:p>
    <w:p w:rsidR="004C46AC" w:rsidRPr="00E4460C" w:rsidRDefault="004C46AC"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2、人才培养</w:t>
      </w:r>
      <w:bookmarkEnd w:id="1"/>
      <w:r w:rsidR="00E4695F" w:rsidRPr="00E4460C">
        <w:rPr>
          <w:rFonts w:ascii="仿宋_GB2312" w:eastAsia="仿宋_GB2312" w:cs="AdobeHeitiStd-Regular" w:hint="eastAsia"/>
          <w:color w:val="181818"/>
          <w:sz w:val="28"/>
          <w:szCs w:val="28"/>
        </w:rPr>
        <w:t>：</w:t>
      </w:r>
      <w:r w:rsidR="00E73865" w:rsidRPr="00E4460C">
        <w:rPr>
          <w:rFonts w:ascii="仿宋_GB2312" w:eastAsia="仿宋_GB2312" w:cs="AdobeHeitiStd-Regular" w:hint="eastAsia"/>
          <w:color w:val="181818"/>
          <w:sz w:val="28"/>
          <w:szCs w:val="28"/>
        </w:rPr>
        <w:t>基于原有经济学科点的经验，研究生将采取校内导师个人负责制和导师组集体培养相结合的培养方式，指导研究生的课程学习、业务实习、社会调查和论文写作。要求研究生刻苦攻读、勤于思考、认真钻研，注重理论联系实际，提高分析问题和解决问题的能力、以及创新能力和语言文字的表达能力。原部分理论经济学、产业经济学和区域经济学专业的部分学生的毕业论文就是以财政热点为研究主题的，并且取得了良好的成绩，毕业后也都顺利工作在金融机构、政府部门、大型企事业单位等，有的还考取了国内知名高校继续攻读博士学位。待条件成熟后，也可考虑</w:t>
      </w:r>
      <w:r w:rsidRPr="00E4460C">
        <w:rPr>
          <w:rFonts w:ascii="仿宋_GB2312" w:eastAsia="仿宋_GB2312" w:cs="AdobeHeitiStd-Regular" w:hint="eastAsia"/>
          <w:color w:val="181818"/>
          <w:sz w:val="28"/>
          <w:szCs w:val="28"/>
        </w:rPr>
        <w:t>整合商学院教育教学资源，包括企业管理、会计学、产业经济、理论经济学，</w:t>
      </w:r>
      <w:r w:rsidR="00E73865" w:rsidRPr="00E4460C">
        <w:rPr>
          <w:rFonts w:ascii="仿宋_GB2312" w:eastAsia="仿宋_GB2312" w:cs="AdobeHeitiStd-Regular" w:hint="eastAsia"/>
          <w:color w:val="181818"/>
          <w:sz w:val="28"/>
          <w:szCs w:val="28"/>
        </w:rPr>
        <w:t>根据目前对财务与税务人员的需求，</w:t>
      </w:r>
      <w:r w:rsidR="00E4695F" w:rsidRPr="00E4460C">
        <w:rPr>
          <w:rFonts w:ascii="仿宋_GB2312" w:eastAsia="仿宋_GB2312" w:cs="AdobeHeitiStd-Regular" w:hint="eastAsia"/>
          <w:color w:val="181818"/>
          <w:sz w:val="28"/>
          <w:szCs w:val="28"/>
        </w:rPr>
        <w:t>逐步开设税务专业硕士学位研究生，满足社会的需求。</w:t>
      </w:r>
    </w:p>
    <w:p w:rsidR="00E73865" w:rsidRPr="00E4460C" w:rsidRDefault="00E73865"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3、科学研究：</w:t>
      </w:r>
      <w:r w:rsidR="00CB333D" w:rsidRPr="00E4460C">
        <w:rPr>
          <w:rFonts w:ascii="仿宋_GB2312" w:eastAsia="仿宋_GB2312" w:cs="AdobeHeitiStd-Regular" w:hint="eastAsia"/>
          <w:color w:val="181818"/>
          <w:sz w:val="28"/>
          <w:szCs w:val="28"/>
        </w:rPr>
        <w:t>该学科团队</w:t>
      </w:r>
      <w:r w:rsidR="00F20EE5" w:rsidRPr="00E4460C">
        <w:rPr>
          <w:rFonts w:ascii="仿宋_GB2312" w:eastAsia="仿宋_GB2312" w:cs="AdobeHeitiStd-Regular"/>
          <w:color w:val="181818"/>
          <w:sz w:val="28"/>
          <w:szCs w:val="28"/>
        </w:rPr>
        <w:t>近</w:t>
      </w:r>
      <w:r w:rsidR="00F20EE5" w:rsidRPr="00E4460C">
        <w:rPr>
          <w:rFonts w:ascii="仿宋_GB2312" w:eastAsia="仿宋_GB2312" w:cs="AdobeHeitiStd-Regular" w:hint="eastAsia"/>
          <w:color w:val="181818"/>
          <w:sz w:val="28"/>
          <w:szCs w:val="28"/>
        </w:rPr>
        <w:t>几</w:t>
      </w:r>
      <w:r w:rsidR="00CB333D" w:rsidRPr="00E4460C">
        <w:rPr>
          <w:rFonts w:ascii="仿宋_GB2312" w:eastAsia="仿宋_GB2312" w:cs="AdobeHeitiStd-Regular"/>
          <w:color w:val="181818"/>
          <w:sz w:val="28"/>
          <w:szCs w:val="28"/>
        </w:rPr>
        <w:t>年</w:t>
      </w:r>
      <w:r w:rsidR="00F20EE5" w:rsidRPr="00E4460C">
        <w:rPr>
          <w:rFonts w:ascii="仿宋_GB2312" w:eastAsia="仿宋_GB2312" w:cs="AdobeHeitiStd-Regular" w:hint="eastAsia"/>
          <w:color w:val="181818"/>
          <w:sz w:val="28"/>
          <w:szCs w:val="28"/>
        </w:rPr>
        <w:t>来</w:t>
      </w:r>
      <w:r w:rsidR="00CB333D" w:rsidRPr="00E4460C">
        <w:rPr>
          <w:rFonts w:ascii="仿宋_GB2312" w:eastAsia="仿宋_GB2312" w:cs="AdobeHeitiStd-Regular"/>
          <w:color w:val="181818"/>
          <w:sz w:val="28"/>
          <w:szCs w:val="28"/>
        </w:rPr>
        <w:t>出版</w:t>
      </w:r>
      <w:r w:rsidR="00CB333D" w:rsidRPr="00E4460C">
        <w:rPr>
          <w:rFonts w:ascii="仿宋_GB2312" w:eastAsia="仿宋_GB2312" w:cs="AdobeHeitiStd-Regular" w:hint="eastAsia"/>
          <w:color w:val="181818"/>
          <w:sz w:val="28"/>
          <w:szCs w:val="28"/>
        </w:rPr>
        <w:t>了</w:t>
      </w:r>
      <w:r w:rsidR="00F20EE5" w:rsidRPr="00E4460C">
        <w:rPr>
          <w:rFonts w:ascii="仿宋_GB2312" w:eastAsia="仿宋_GB2312" w:cs="AdobeHeitiStd-Regular" w:hint="eastAsia"/>
          <w:color w:val="181818"/>
          <w:sz w:val="28"/>
          <w:szCs w:val="28"/>
        </w:rPr>
        <w:t>《税收债法论》等</w:t>
      </w:r>
      <w:r w:rsidR="00CB333D" w:rsidRPr="00E4460C">
        <w:rPr>
          <w:rFonts w:ascii="仿宋_GB2312" w:eastAsia="仿宋_GB2312" w:cs="AdobeHeitiStd-Regular" w:hint="eastAsia"/>
          <w:color w:val="181818"/>
          <w:sz w:val="28"/>
          <w:szCs w:val="28"/>
        </w:rPr>
        <w:t>多部</w:t>
      </w:r>
      <w:r w:rsidR="00CB333D" w:rsidRPr="00E4460C">
        <w:rPr>
          <w:rFonts w:ascii="仿宋_GB2312" w:eastAsia="仿宋_GB2312" w:cs="AdobeHeitiStd-Regular"/>
          <w:color w:val="181818"/>
          <w:sz w:val="28"/>
          <w:szCs w:val="28"/>
        </w:rPr>
        <w:t>专著</w:t>
      </w:r>
      <w:r w:rsidR="00CB333D" w:rsidRPr="00E4460C">
        <w:rPr>
          <w:rFonts w:ascii="仿宋_GB2312" w:eastAsia="仿宋_GB2312" w:cs="AdobeHeitiStd-Regular" w:hint="eastAsia"/>
          <w:color w:val="181818"/>
          <w:sz w:val="28"/>
          <w:szCs w:val="28"/>
        </w:rPr>
        <w:t>或译著，</w:t>
      </w:r>
      <w:r w:rsidR="00CB333D" w:rsidRPr="00E4460C">
        <w:rPr>
          <w:rFonts w:ascii="仿宋_GB2312" w:eastAsia="仿宋_GB2312" w:cs="AdobeHeitiStd-Regular"/>
          <w:color w:val="181818"/>
          <w:sz w:val="28"/>
          <w:szCs w:val="28"/>
        </w:rPr>
        <w:t>在国外期刊或国际会议上发表</w:t>
      </w:r>
      <w:r w:rsidR="002D1ACC" w:rsidRPr="00E4460C">
        <w:rPr>
          <w:rFonts w:ascii="仿宋_GB2312" w:eastAsia="仿宋_GB2312" w:cs="AdobeHeitiStd-Regular" w:hint="eastAsia"/>
          <w:color w:val="181818"/>
          <w:sz w:val="28"/>
          <w:szCs w:val="28"/>
        </w:rPr>
        <w:t>了</w:t>
      </w:r>
      <w:r w:rsidR="00CB333D" w:rsidRPr="00E4460C">
        <w:rPr>
          <w:rFonts w:ascii="仿宋_GB2312" w:eastAsia="仿宋_GB2312" w:cs="AdobeHeitiStd-Regular"/>
          <w:color w:val="181818"/>
          <w:sz w:val="28"/>
          <w:szCs w:val="28"/>
        </w:rPr>
        <w:t>多篇高水平论文，</w:t>
      </w:r>
      <w:r w:rsidR="00CB333D" w:rsidRPr="00E4460C">
        <w:rPr>
          <w:rFonts w:ascii="仿宋_GB2312" w:eastAsia="仿宋_GB2312" w:cs="AdobeHeitiStd-Regular" w:hint="eastAsia"/>
          <w:color w:val="181818"/>
          <w:sz w:val="28"/>
          <w:szCs w:val="28"/>
        </w:rPr>
        <w:t>在</w:t>
      </w:r>
      <w:r w:rsidR="00F20EE5" w:rsidRPr="00E4460C">
        <w:rPr>
          <w:rFonts w:ascii="仿宋_GB2312" w:eastAsia="仿宋_GB2312" w:cs="AdobeHeitiStd-Regular" w:hint="eastAsia"/>
          <w:color w:val="181818"/>
          <w:sz w:val="28"/>
          <w:szCs w:val="28"/>
        </w:rPr>
        <w:t>《管理世界》、《税务研究》等</w:t>
      </w:r>
      <w:r w:rsidR="00CB333D" w:rsidRPr="00E4460C">
        <w:rPr>
          <w:rFonts w:ascii="仿宋_GB2312" w:eastAsia="仿宋_GB2312" w:cs="AdobeHeitiStd-Regular" w:hint="eastAsia"/>
          <w:color w:val="181818"/>
          <w:sz w:val="28"/>
          <w:szCs w:val="28"/>
        </w:rPr>
        <w:t>国内权威和核心杂志</w:t>
      </w:r>
      <w:r w:rsidR="002D1ACC" w:rsidRPr="00E4460C">
        <w:rPr>
          <w:rFonts w:ascii="仿宋_GB2312" w:eastAsia="仿宋_GB2312" w:cs="AdobeHeitiStd-Regular" w:hint="eastAsia"/>
          <w:color w:val="181818"/>
          <w:sz w:val="28"/>
          <w:szCs w:val="28"/>
        </w:rPr>
        <w:t>上</w:t>
      </w:r>
      <w:r w:rsidR="00CB333D" w:rsidRPr="00E4460C">
        <w:rPr>
          <w:rFonts w:ascii="仿宋_GB2312" w:eastAsia="仿宋_GB2312" w:cs="AdobeHeitiStd-Regular" w:hint="eastAsia"/>
          <w:color w:val="181818"/>
          <w:sz w:val="28"/>
          <w:szCs w:val="28"/>
        </w:rPr>
        <w:t>发表了几十篇论文且</w:t>
      </w:r>
      <w:r w:rsidR="00CB333D" w:rsidRPr="00E4460C">
        <w:rPr>
          <w:rFonts w:ascii="仿宋_GB2312" w:eastAsia="仿宋_GB2312" w:cs="AdobeHeitiStd-Regular"/>
          <w:color w:val="181818"/>
          <w:sz w:val="28"/>
          <w:szCs w:val="28"/>
        </w:rPr>
        <w:t>多篇被</w:t>
      </w:r>
      <w:r w:rsidR="00CB333D" w:rsidRPr="00E4460C">
        <w:rPr>
          <w:rFonts w:ascii="仿宋_GB2312" w:eastAsia="仿宋_GB2312" w:cs="AdobeHeitiStd-Regular" w:hint="eastAsia"/>
          <w:color w:val="181818"/>
          <w:sz w:val="28"/>
          <w:szCs w:val="28"/>
        </w:rPr>
        <w:t>新华文摘或</w:t>
      </w:r>
      <w:r w:rsidR="00CB333D" w:rsidRPr="00E4460C">
        <w:rPr>
          <w:rFonts w:ascii="仿宋_GB2312" w:eastAsia="仿宋_GB2312" w:cs="AdobeHeitiStd-Regular"/>
          <w:color w:val="181818"/>
          <w:sz w:val="28"/>
          <w:szCs w:val="28"/>
        </w:rPr>
        <w:t>中国人民大学复印报刊资料转摘；</w:t>
      </w:r>
      <w:r w:rsidR="00CB333D" w:rsidRPr="00E4460C">
        <w:rPr>
          <w:rFonts w:ascii="仿宋_GB2312" w:eastAsia="仿宋_GB2312" w:cs="AdobeHeitiStd-Regular" w:hint="eastAsia"/>
          <w:color w:val="181818"/>
          <w:sz w:val="28"/>
          <w:szCs w:val="28"/>
        </w:rPr>
        <w:t>主持或参与</w:t>
      </w:r>
      <w:r w:rsidR="002D1ACC" w:rsidRPr="00E4460C">
        <w:rPr>
          <w:rFonts w:ascii="仿宋_GB2312" w:eastAsia="仿宋_GB2312" w:cs="AdobeHeitiStd-Regular" w:hint="eastAsia"/>
          <w:color w:val="181818"/>
          <w:sz w:val="28"/>
          <w:szCs w:val="28"/>
        </w:rPr>
        <w:t>了</w:t>
      </w:r>
      <w:r w:rsidR="00CB333D" w:rsidRPr="00E4460C">
        <w:rPr>
          <w:rFonts w:ascii="仿宋_GB2312" w:eastAsia="仿宋_GB2312" w:cs="AdobeHeitiStd-Regular" w:hint="eastAsia"/>
          <w:color w:val="181818"/>
          <w:sz w:val="28"/>
          <w:szCs w:val="28"/>
        </w:rPr>
        <w:t>多项</w:t>
      </w:r>
      <w:r w:rsidR="00CB333D" w:rsidRPr="00E4460C">
        <w:rPr>
          <w:rFonts w:ascii="仿宋_GB2312" w:eastAsia="仿宋_GB2312" w:cs="AdobeHeitiStd-Regular"/>
          <w:color w:val="181818"/>
          <w:sz w:val="28"/>
          <w:szCs w:val="28"/>
        </w:rPr>
        <w:t>国家级</w:t>
      </w:r>
      <w:r w:rsidR="00CB333D" w:rsidRPr="00E4460C">
        <w:rPr>
          <w:rFonts w:ascii="仿宋_GB2312" w:eastAsia="仿宋_GB2312" w:cs="AdobeHeitiStd-Regular" w:hint="eastAsia"/>
          <w:color w:val="181818"/>
          <w:sz w:val="28"/>
          <w:szCs w:val="28"/>
        </w:rPr>
        <w:t>、</w:t>
      </w:r>
      <w:r w:rsidR="00CB333D" w:rsidRPr="00E4460C">
        <w:rPr>
          <w:rFonts w:ascii="仿宋_GB2312" w:eastAsia="仿宋_GB2312" w:cs="AdobeHeitiStd-Regular"/>
          <w:color w:val="181818"/>
          <w:sz w:val="28"/>
          <w:szCs w:val="28"/>
        </w:rPr>
        <w:t>省部级项目</w:t>
      </w:r>
      <w:r w:rsidR="00CB333D" w:rsidRPr="00E4460C">
        <w:rPr>
          <w:rFonts w:ascii="仿宋_GB2312" w:eastAsia="仿宋_GB2312" w:cs="AdobeHeitiStd-Regular" w:hint="eastAsia"/>
          <w:color w:val="181818"/>
          <w:sz w:val="28"/>
          <w:szCs w:val="28"/>
        </w:rPr>
        <w:t>以及多项横向课题的研究</w:t>
      </w:r>
      <w:r w:rsidR="00F20EE5" w:rsidRPr="00E4460C">
        <w:rPr>
          <w:rFonts w:ascii="仿宋_GB2312" w:eastAsia="仿宋_GB2312" w:cs="AdobeHeitiStd-Regular" w:hint="eastAsia"/>
          <w:color w:val="181818"/>
          <w:sz w:val="28"/>
          <w:szCs w:val="28"/>
        </w:rPr>
        <w:t>；多项成果获得了学术界的奖励，</w:t>
      </w:r>
      <w:r w:rsidR="00CB333D" w:rsidRPr="00E4460C">
        <w:rPr>
          <w:rFonts w:ascii="仿宋_GB2312" w:eastAsia="仿宋_GB2312" w:cs="AdobeHeitiStd-Regular" w:hint="eastAsia"/>
          <w:color w:val="181818"/>
          <w:sz w:val="28"/>
          <w:szCs w:val="28"/>
        </w:rPr>
        <w:t>在理论研究和企业实践中均取得</w:t>
      </w:r>
      <w:r w:rsidR="00B06D26" w:rsidRPr="00E4460C">
        <w:rPr>
          <w:rFonts w:ascii="仿宋_GB2312" w:eastAsia="仿宋_GB2312" w:cs="AdobeHeitiStd-Regular" w:hint="eastAsia"/>
          <w:color w:val="181818"/>
          <w:sz w:val="28"/>
          <w:szCs w:val="28"/>
        </w:rPr>
        <w:t>了</w:t>
      </w:r>
      <w:r w:rsidR="00CB333D" w:rsidRPr="00E4460C">
        <w:rPr>
          <w:rFonts w:ascii="仿宋_GB2312" w:eastAsia="仿宋_GB2312" w:cs="AdobeHeitiStd-Regular" w:hint="eastAsia"/>
          <w:color w:val="181818"/>
          <w:sz w:val="28"/>
          <w:szCs w:val="28"/>
        </w:rPr>
        <w:t>较大成绩。</w:t>
      </w:r>
      <w:r w:rsidR="00F20EE5" w:rsidRPr="00E4460C">
        <w:rPr>
          <w:rFonts w:ascii="仿宋_GB2312" w:eastAsia="仿宋_GB2312" w:cs="AdobeHeitiStd-Regular" w:hint="eastAsia"/>
          <w:color w:val="181818"/>
          <w:sz w:val="28"/>
          <w:szCs w:val="28"/>
        </w:rPr>
        <w:t>今后，要在此基础上，</w:t>
      </w:r>
      <w:r w:rsidR="00445712" w:rsidRPr="00E4460C">
        <w:rPr>
          <w:rFonts w:ascii="仿宋_GB2312" w:eastAsia="仿宋_GB2312" w:cs="AdobeHeitiStd-Regular" w:hint="eastAsia"/>
          <w:color w:val="181818"/>
          <w:sz w:val="28"/>
          <w:szCs w:val="28"/>
        </w:rPr>
        <w:t>在做好教学工作和学生培养的同时，继续开展财政学的深入研究，并进一步突出本学科的研究方向与特色，扩大在学术界的影响。</w:t>
      </w:r>
    </w:p>
    <w:p w:rsidR="00E73865" w:rsidRPr="00E4460C" w:rsidRDefault="00E73865" w:rsidP="00E4460C">
      <w:pPr>
        <w:spacing w:line="500" w:lineRule="exact"/>
        <w:ind w:firstLineChars="200" w:firstLine="560"/>
        <w:rPr>
          <w:rFonts w:ascii="仿宋_GB2312" w:eastAsia="仿宋_GB2312" w:cs="AdobeHeitiStd-Regular"/>
          <w:color w:val="181818"/>
          <w:sz w:val="28"/>
          <w:szCs w:val="28"/>
        </w:rPr>
      </w:pPr>
      <w:bookmarkStart w:id="2" w:name="_Toc310009632"/>
      <w:r w:rsidRPr="00E4460C">
        <w:rPr>
          <w:rFonts w:ascii="仿宋_GB2312" w:eastAsia="仿宋_GB2312" w:cs="AdobeHeitiStd-Regular" w:hint="eastAsia"/>
          <w:color w:val="181818"/>
          <w:sz w:val="28"/>
          <w:szCs w:val="28"/>
        </w:rPr>
        <w:t>4、学术交流：</w:t>
      </w:r>
      <w:r w:rsidR="00F20EE5" w:rsidRPr="00E4460C">
        <w:rPr>
          <w:rFonts w:ascii="仿宋_GB2312" w:eastAsia="仿宋_GB2312" w:cs="AdobeHeitiStd-Regular" w:hint="eastAsia"/>
          <w:color w:val="181818"/>
          <w:sz w:val="28"/>
          <w:szCs w:val="28"/>
        </w:rPr>
        <w:t>现有团队成员均来自于国内名校，</w:t>
      </w:r>
      <w:r w:rsidR="002D1ACC" w:rsidRPr="00E4460C">
        <w:rPr>
          <w:rFonts w:ascii="仿宋_GB2312" w:eastAsia="仿宋_GB2312" w:cs="AdobeHeitiStd-Regular" w:hint="eastAsia"/>
          <w:color w:val="181818"/>
          <w:sz w:val="28"/>
          <w:szCs w:val="28"/>
        </w:rPr>
        <w:t>并有国外访学经历，</w:t>
      </w:r>
      <w:r w:rsidR="00F20EE5" w:rsidRPr="00E4460C">
        <w:rPr>
          <w:rFonts w:ascii="仿宋_GB2312" w:eastAsia="仿宋_GB2312" w:cs="AdobeHeitiStd-Regular" w:hint="eastAsia"/>
          <w:color w:val="181818"/>
          <w:sz w:val="28"/>
          <w:szCs w:val="28"/>
        </w:rPr>
        <w:t>有着较好的</w:t>
      </w:r>
      <w:r w:rsidR="002D1ACC" w:rsidRPr="00E4460C">
        <w:rPr>
          <w:rFonts w:ascii="仿宋_GB2312" w:eastAsia="仿宋_GB2312" w:cs="AdobeHeitiStd-Regular" w:hint="eastAsia"/>
          <w:color w:val="181818"/>
          <w:sz w:val="28"/>
          <w:szCs w:val="28"/>
        </w:rPr>
        <w:t>学</w:t>
      </w:r>
      <w:r w:rsidR="00F20EE5" w:rsidRPr="00E4460C">
        <w:rPr>
          <w:rFonts w:ascii="仿宋_GB2312" w:eastAsia="仿宋_GB2312" w:cs="AdobeHeitiStd-Regular" w:hint="eastAsia"/>
          <w:color w:val="181818"/>
          <w:sz w:val="28"/>
          <w:szCs w:val="28"/>
        </w:rPr>
        <w:t>脉</w:t>
      </w:r>
      <w:r w:rsidR="002D1ACC" w:rsidRPr="00E4460C">
        <w:rPr>
          <w:rFonts w:ascii="仿宋_GB2312" w:eastAsia="仿宋_GB2312" w:cs="AdobeHeitiStd-Regular" w:hint="eastAsia"/>
          <w:color w:val="181818"/>
          <w:sz w:val="28"/>
          <w:szCs w:val="28"/>
        </w:rPr>
        <w:t>关系。</w:t>
      </w:r>
      <w:r w:rsidR="00F20EE5" w:rsidRPr="00E4460C">
        <w:rPr>
          <w:rFonts w:ascii="仿宋_GB2312" w:eastAsia="仿宋_GB2312" w:cs="AdobeHeitiStd-Regular" w:hint="eastAsia"/>
          <w:color w:val="181818"/>
          <w:sz w:val="28"/>
          <w:szCs w:val="28"/>
        </w:rPr>
        <w:t>今后要继续</w:t>
      </w:r>
      <w:r w:rsidRPr="00E4460C">
        <w:rPr>
          <w:rFonts w:ascii="仿宋_GB2312" w:eastAsia="仿宋_GB2312" w:cs="AdobeHeitiStd-Regular" w:hint="eastAsia"/>
          <w:color w:val="181818"/>
          <w:sz w:val="28"/>
          <w:szCs w:val="28"/>
        </w:rPr>
        <w:t>发扬团队精神，集思广益，找准突破口，分别以不同的团队形式，加强与国内</w:t>
      </w:r>
      <w:r w:rsidR="002D1ACC" w:rsidRPr="00E4460C">
        <w:rPr>
          <w:rFonts w:ascii="仿宋_GB2312" w:eastAsia="仿宋_GB2312" w:cs="AdobeHeitiStd-Regular" w:hint="eastAsia"/>
          <w:color w:val="181818"/>
          <w:sz w:val="28"/>
          <w:szCs w:val="28"/>
        </w:rPr>
        <w:t>外财政</w:t>
      </w:r>
      <w:r w:rsidRPr="00E4460C">
        <w:rPr>
          <w:rFonts w:ascii="仿宋_GB2312" w:eastAsia="仿宋_GB2312" w:cs="AdobeHeitiStd-Regular" w:hint="eastAsia"/>
          <w:color w:val="181818"/>
          <w:sz w:val="28"/>
          <w:szCs w:val="28"/>
        </w:rPr>
        <w:t>学科排名</w:t>
      </w:r>
      <w:r w:rsidR="002D1ACC" w:rsidRPr="00E4460C">
        <w:rPr>
          <w:rFonts w:ascii="仿宋_GB2312" w:eastAsia="仿宋_GB2312" w:cs="AdobeHeitiStd-Regular" w:hint="eastAsia"/>
          <w:color w:val="181818"/>
          <w:sz w:val="28"/>
          <w:szCs w:val="28"/>
        </w:rPr>
        <w:t>前列的</w:t>
      </w:r>
      <w:r w:rsidRPr="00E4460C">
        <w:rPr>
          <w:rFonts w:ascii="仿宋_GB2312" w:eastAsia="仿宋_GB2312" w:cs="AdobeHeitiStd-Regular" w:hint="eastAsia"/>
          <w:color w:val="181818"/>
          <w:sz w:val="28"/>
          <w:szCs w:val="28"/>
        </w:rPr>
        <w:t>兄弟院校</w:t>
      </w:r>
      <w:r w:rsidR="002D1ACC" w:rsidRPr="00E4460C">
        <w:rPr>
          <w:rFonts w:ascii="仿宋_GB2312" w:eastAsia="仿宋_GB2312" w:cs="AdobeHeitiStd-Regular" w:hint="eastAsia"/>
          <w:color w:val="181818"/>
          <w:sz w:val="28"/>
          <w:szCs w:val="28"/>
        </w:rPr>
        <w:t>进行</w:t>
      </w:r>
      <w:r w:rsidRPr="00E4460C">
        <w:rPr>
          <w:rFonts w:ascii="仿宋_GB2312" w:eastAsia="仿宋_GB2312" w:cs="AdobeHeitiStd-Regular" w:hint="eastAsia"/>
          <w:color w:val="181818"/>
          <w:sz w:val="28"/>
          <w:szCs w:val="28"/>
        </w:rPr>
        <w:t>合作与互动，选准课题，共同攻关，产出有标志性</w:t>
      </w:r>
      <w:r w:rsidRPr="00E4460C">
        <w:rPr>
          <w:rFonts w:ascii="仿宋_GB2312" w:eastAsia="仿宋_GB2312" w:cs="AdobeHeitiStd-Regular" w:hint="eastAsia"/>
          <w:color w:val="181818"/>
          <w:sz w:val="28"/>
          <w:szCs w:val="28"/>
        </w:rPr>
        <w:lastRenderedPageBreak/>
        <w:t>的科研成果，培育学科特色。</w:t>
      </w:r>
    </w:p>
    <w:p w:rsidR="00E73865" w:rsidRPr="00E4460C" w:rsidRDefault="00E73865"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5、教学科研基本条件：</w:t>
      </w:r>
      <w:r w:rsidR="00445712" w:rsidRPr="00E4460C">
        <w:rPr>
          <w:rFonts w:ascii="仿宋_GB2312" w:eastAsia="仿宋_GB2312" w:cs="AdobeHeitiStd-Regular" w:hint="eastAsia"/>
          <w:color w:val="181818"/>
          <w:sz w:val="28"/>
          <w:szCs w:val="28"/>
        </w:rPr>
        <w:t>该团队依托于学校和所在院系的支持，拥有较好的办公场地、教学设备、实验室</w:t>
      </w:r>
      <w:r w:rsidR="00B53724" w:rsidRPr="00E4460C">
        <w:rPr>
          <w:rFonts w:ascii="仿宋_GB2312" w:eastAsia="仿宋_GB2312" w:cs="AdobeHeitiStd-Regular" w:hint="eastAsia"/>
          <w:color w:val="181818"/>
          <w:sz w:val="28"/>
          <w:szCs w:val="28"/>
        </w:rPr>
        <w:t>以及先进的计算机软件</w:t>
      </w:r>
      <w:r w:rsidR="00445712" w:rsidRPr="00E4460C">
        <w:rPr>
          <w:rFonts w:ascii="仿宋_GB2312" w:eastAsia="仿宋_GB2312" w:cs="AdobeHeitiStd-Regular" w:hint="eastAsia"/>
          <w:color w:val="181818"/>
          <w:sz w:val="28"/>
          <w:szCs w:val="28"/>
        </w:rPr>
        <w:t>等，并有图书馆等线上和线下图书资料资源。今后，将继续加强与我校图书馆的联系，增加有关财政学图书影像及数据库的建设工作。</w:t>
      </w:r>
    </w:p>
    <w:p w:rsidR="004C46AC" w:rsidRPr="00E4460C" w:rsidRDefault="00E73865" w:rsidP="00E4460C">
      <w:pPr>
        <w:spacing w:line="500" w:lineRule="exact"/>
        <w:ind w:firstLineChars="200" w:firstLine="560"/>
        <w:rPr>
          <w:rFonts w:ascii="仿宋_GB2312" w:eastAsia="仿宋_GB2312" w:cs="AdobeHeitiStd-Regular"/>
          <w:color w:val="181818"/>
          <w:sz w:val="28"/>
          <w:szCs w:val="28"/>
        </w:rPr>
      </w:pPr>
      <w:r w:rsidRPr="00E4460C">
        <w:rPr>
          <w:rFonts w:ascii="仿宋_GB2312" w:eastAsia="仿宋_GB2312" w:cs="AdobeHeitiStd-Regular" w:hint="eastAsia"/>
          <w:color w:val="181818"/>
          <w:sz w:val="28"/>
          <w:szCs w:val="28"/>
        </w:rPr>
        <w:t>6、</w:t>
      </w:r>
      <w:bookmarkEnd w:id="2"/>
      <w:r w:rsidR="004C46AC" w:rsidRPr="00E4460C">
        <w:rPr>
          <w:rFonts w:ascii="仿宋_GB2312" w:eastAsia="仿宋_GB2312" w:cs="AdobeHeitiStd-Regular" w:hint="eastAsia"/>
          <w:color w:val="181818"/>
          <w:sz w:val="28"/>
          <w:szCs w:val="28"/>
        </w:rPr>
        <w:t>经费保障</w:t>
      </w:r>
      <w:r w:rsidR="00E4695F" w:rsidRPr="00E4460C">
        <w:rPr>
          <w:rFonts w:ascii="仿宋_GB2312" w:eastAsia="仿宋_GB2312" w:cs="AdobeHeitiStd-Regular" w:hint="eastAsia"/>
          <w:color w:val="181818"/>
          <w:sz w:val="28"/>
          <w:szCs w:val="28"/>
        </w:rPr>
        <w:t>：</w:t>
      </w:r>
      <w:r w:rsidR="00B53724" w:rsidRPr="00E4460C">
        <w:rPr>
          <w:rFonts w:ascii="仿宋_GB2312" w:eastAsia="仿宋_GB2312" w:cs="AdobeHeitiStd-Regular" w:hint="eastAsia"/>
          <w:color w:val="181818"/>
          <w:sz w:val="28"/>
          <w:szCs w:val="28"/>
        </w:rPr>
        <w:t>目前，该团队承担有多项纵向和横向课题，拥有较好的开展科研工作的经费保障。今后，将会根据该学科的特点，除了继续整合现有人员、资源，争取获得各级纵向课题外，还将进一步密切学科与地方企业、政府的联系，争取较大数额的横向课题，进而创造更优厚的教学科研条件。</w:t>
      </w:r>
    </w:p>
    <w:p w:rsidR="00523BD2" w:rsidRPr="00E4460C" w:rsidRDefault="00523BD2" w:rsidP="00E4460C">
      <w:pPr>
        <w:spacing w:line="500" w:lineRule="exact"/>
        <w:ind w:firstLineChars="200" w:firstLine="560"/>
        <w:rPr>
          <w:rFonts w:ascii="仿宋_GB2312" w:eastAsia="仿宋_GB2312" w:cs="AdobeHeitiStd-Regular"/>
          <w:color w:val="181818"/>
          <w:sz w:val="28"/>
          <w:szCs w:val="28"/>
        </w:rPr>
      </w:pPr>
    </w:p>
    <w:sectPr w:rsidR="00523BD2" w:rsidRPr="00E4460C" w:rsidSect="001A502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E4" w:rsidRDefault="00BB42E4" w:rsidP="002A4BD5">
      <w:r>
        <w:separator/>
      </w:r>
    </w:p>
  </w:endnote>
  <w:endnote w:type="continuationSeparator" w:id="0">
    <w:p w:rsidR="00BB42E4" w:rsidRDefault="00BB42E4" w:rsidP="002A4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HeitiStd-Regular">
    <w:panose1 w:val="00000000000000000000"/>
    <w:charset w:val="00"/>
    <w:family w:val="roman"/>
    <w:notTrueType/>
    <w:pitch w:val="default"/>
    <w:sig w:usb0="00000000" w:usb1="00000000" w:usb2="00000000" w:usb3="00000000" w:csb0="00000000" w:csb1="00000000"/>
  </w:font>
  <w:font w:name="SSJ0+ZDYIcH-2">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EB7" w:rsidRDefault="00197EB7">
    <w:pPr>
      <w:pStyle w:val="a5"/>
      <w:jc w:val="center"/>
    </w:pPr>
    <w:fldSimple w:instr=" PAGE   \* MERGEFORMAT ">
      <w:r w:rsidRPr="00197EB7">
        <w:rPr>
          <w:noProof/>
          <w:lang w:val="zh-CN"/>
        </w:rPr>
        <w:t>3</w:t>
      </w:r>
    </w:fldSimple>
  </w:p>
  <w:p w:rsidR="00197EB7" w:rsidRDefault="00197E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E4" w:rsidRDefault="00BB42E4" w:rsidP="002A4BD5">
      <w:r>
        <w:separator/>
      </w:r>
    </w:p>
  </w:footnote>
  <w:footnote w:type="continuationSeparator" w:id="0">
    <w:p w:rsidR="00BB42E4" w:rsidRDefault="00BB42E4" w:rsidP="002A4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90C7C"/>
    <w:multiLevelType w:val="multilevel"/>
    <w:tmpl w:val="60A0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365"/>
    <w:rsid w:val="00072EC4"/>
    <w:rsid w:val="000B3537"/>
    <w:rsid w:val="000D56AC"/>
    <w:rsid w:val="00110601"/>
    <w:rsid w:val="001342D0"/>
    <w:rsid w:val="001827E4"/>
    <w:rsid w:val="00186FFF"/>
    <w:rsid w:val="00197EB7"/>
    <w:rsid w:val="001A5023"/>
    <w:rsid w:val="002278D0"/>
    <w:rsid w:val="002845CD"/>
    <w:rsid w:val="002A4BD5"/>
    <w:rsid w:val="002B5CA5"/>
    <w:rsid w:val="002C3A3B"/>
    <w:rsid w:val="002D1ACC"/>
    <w:rsid w:val="002F6C9F"/>
    <w:rsid w:val="00311B64"/>
    <w:rsid w:val="00327358"/>
    <w:rsid w:val="00380084"/>
    <w:rsid w:val="003931A5"/>
    <w:rsid w:val="003B2080"/>
    <w:rsid w:val="003C743B"/>
    <w:rsid w:val="003D197B"/>
    <w:rsid w:val="00445712"/>
    <w:rsid w:val="0047735E"/>
    <w:rsid w:val="004929B9"/>
    <w:rsid w:val="004C46AC"/>
    <w:rsid w:val="004F0EA9"/>
    <w:rsid w:val="00501B14"/>
    <w:rsid w:val="00507E88"/>
    <w:rsid w:val="00523BD2"/>
    <w:rsid w:val="005403C9"/>
    <w:rsid w:val="005409DE"/>
    <w:rsid w:val="0055167A"/>
    <w:rsid w:val="005624D3"/>
    <w:rsid w:val="005805B6"/>
    <w:rsid w:val="00591BF4"/>
    <w:rsid w:val="005D59F1"/>
    <w:rsid w:val="00601A9A"/>
    <w:rsid w:val="00632CC1"/>
    <w:rsid w:val="00667690"/>
    <w:rsid w:val="006850B0"/>
    <w:rsid w:val="006A15B1"/>
    <w:rsid w:val="006C608C"/>
    <w:rsid w:val="006D13AD"/>
    <w:rsid w:val="00702915"/>
    <w:rsid w:val="00723409"/>
    <w:rsid w:val="0076658D"/>
    <w:rsid w:val="00784B8C"/>
    <w:rsid w:val="00790597"/>
    <w:rsid w:val="007B3736"/>
    <w:rsid w:val="007F02B5"/>
    <w:rsid w:val="00880DB4"/>
    <w:rsid w:val="008A490C"/>
    <w:rsid w:val="008C766A"/>
    <w:rsid w:val="008D74AA"/>
    <w:rsid w:val="008F56DA"/>
    <w:rsid w:val="008F633D"/>
    <w:rsid w:val="00910B5E"/>
    <w:rsid w:val="00944DEE"/>
    <w:rsid w:val="00950C01"/>
    <w:rsid w:val="00990365"/>
    <w:rsid w:val="009C5678"/>
    <w:rsid w:val="009E632F"/>
    <w:rsid w:val="00AA2AAB"/>
    <w:rsid w:val="00AA3F5D"/>
    <w:rsid w:val="00AA72F0"/>
    <w:rsid w:val="00AF700C"/>
    <w:rsid w:val="00B06D26"/>
    <w:rsid w:val="00B30ADF"/>
    <w:rsid w:val="00B53724"/>
    <w:rsid w:val="00B71D01"/>
    <w:rsid w:val="00B82C8D"/>
    <w:rsid w:val="00BA1AF8"/>
    <w:rsid w:val="00BB42E4"/>
    <w:rsid w:val="00BE77C2"/>
    <w:rsid w:val="00C1294E"/>
    <w:rsid w:val="00C12CDF"/>
    <w:rsid w:val="00C301AE"/>
    <w:rsid w:val="00C56820"/>
    <w:rsid w:val="00C669E1"/>
    <w:rsid w:val="00CB333D"/>
    <w:rsid w:val="00CC1F76"/>
    <w:rsid w:val="00D33F7C"/>
    <w:rsid w:val="00D522C9"/>
    <w:rsid w:val="00D64560"/>
    <w:rsid w:val="00D66958"/>
    <w:rsid w:val="00D673CC"/>
    <w:rsid w:val="00D73527"/>
    <w:rsid w:val="00D74BE7"/>
    <w:rsid w:val="00D77EEC"/>
    <w:rsid w:val="00D83570"/>
    <w:rsid w:val="00DB1FEE"/>
    <w:rsid w:val="00E031F5"/>
    <w:rsid w:val="00E0412B"/>
    <w:rsid w:val="00E14BD2"/>
    <w:rsid w:val="00E4460C"/>
    <w:rsid w:val="00E4695F"/>
    <w:rsid w:val="00E641C3"/>
    <w:rsid w:val="00E7374E"/>
    <w:rsid w:val="00E73865"/>
    <w:rsid w:val="00E96F71"/>
    <w:rsid w:val="00EA17F7"/>
    <w:rsid w:val="00EA41EC"/>
    <w:rsid w:val="00EB50B6"/>
    <w:rsid w:val="00EE5B25"/>
    <w:rsid w:val="00F10D8F"/>
    <w:rsid w:val="00F20EE5"/>
    <w:rsid w:val="00F23CBB"/>
    <w:rsid w:val="00F257C7"/>
    <w:rsid w:val="00F360C8"/>
    <w:rsid w:val="00F8019D"/>
    <w:rsid w:val="00FA5537"/>
    <w:rsid w:val="00FC0C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65"/>
    <w:pPr>
      <w:widowControl w:val="0"/>
      <w:jc w:val="both"/>
    </w:pPr>
    <w:rPr>
      <w:rFonts w:ascii="Times New Roman" w:hAnsi="Times New Roman"/>
      <w:kern w:val="2"/>
      <w:sz w:val="21"/>
      <w:szCs w:val="24"/>
    </w:rPr>
  </w:style>
  <w:style w:type="paragraph" w:styleId="3">
    <w:name w:val="heading 3"/>
    <w:basedOn w:val="a"/>
    <w:next w:val="a"/>
    <w:link w:val="3Char"/>
    <w:qFormat/>
    <w:rsid w:val="004C46AC"/>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36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A4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4BD5"/>
    <w:rPr>
      <w:rFonts w:ascii="Times New Roman" w:hAnsi="Times New Roman"/>
      <w:kern w:val="2"/>
      <w:sz w:val="18"/>
      <w:szCs w:val="18"/>
    </w:rPr>
  </w:style>
  <w:style w:type="paragraph" w:styleId="a5">
    <w:name w:val="footer"/>
    <w:basedOn w:val="a"/>
    <w:link w:val="Char0"/>
    <w:uiPriority w:val="99"/>
    <w:unhideWhenUsed/>
    <w:rsid w:val="002A4BD5"/>
    <w:pPr>
      <w:tabs>
        <w:tab w:val="center" w:pos="4153"/>
        <w:tab w:val="right" w:pos="8306"/>
      </w:tabs>
      <w:snapToGrid w:val="0"/>
      <w:jc w:val="left"/>
    </w:pPr>
    <w:rPr>
      <w:sz w:val="18"/>
      <w:szCs w:val="18"/>
    </w:rPr>
  </w:style>
  <w:style w:type="character" w:customStyle="1" w:styleId="Char0">
    <w:name w:val="页脚 Char"/>
    <w:basedOn w:val="a0"/>
    <w:link w:val="a5"/>
    <w:uiPriority w:val="99"/>
    <w:rsid w:val="002A4BD5"/>
    <w:rPr>
      <w:rFonts w:ascii="Times New Roman" w:hAnsi="Times New Roman"/>
      <w:kern w:val="2"/>
      <w:sz w:val="18"/>
      <w:szCs w:val="18"/>
    </w:rPr>
  </w:style>
  <w:style w:type="paragraph" w:customStyle="1" w:styleId="p0">
    <w:name w:val="p0"/>
    <w:basedOn w:val="a"/>
    <w:rsid w:val="00944DEE"/>
    <w:pPr>
      <w:widowControl/>
      <w:spacing w:before="100" w:beforeAutospacing="1" w:after="100" w:afterAutospacing="1"/>
      <w:jc w:val="left"/>
    </w:pPr>
    <w:rPr>
      <w:rFonts w:ascii="宋体" w:hAnsi="宋体" w:cs="宋体"/>
      <w:kern w:val="0"/>
      <w:sz w:val="24"/>
    </w:rPr>
  </w:style>
  <w:style w:type="paragraph" w:customStyle="1" w:styleId="1">
    <w:name w:val="1"/>
    <w:basedOn w:val="a"/>
    <w:rsid w:val="00944DEE"/>
    <w:pPr>
      <w:widowControl/>
      <w:spacing w:before="100" w:beforeAutospacing="1" w:after="100" w:afterAutospacing="1" w:line="405" w:lineRule="atLeast"/>
      <w:jc w:val="left"/>
    </w:pPr>
    <w:rPr>
      <w:rFonts w:ascii="宋体" w:hAnsi="宋体" w:cs="宋体"/>
      <w:kern w:val="0"/>
      <w:sz w:val="18"/>
      <w:szCs w:val="18"/>
    </w:rPr>
  </w:style>
  <w:style w:type="paragraph" w:styleId="a6">
    <w:name w:val="Normal (Web)"/>
    <w:basedOn w:val="a"/>
    <w:uiPriority w:val="99"/>
    <w:unhideWhenUsed/>
    <w:rsid w:val="00944DEE"/>
    <w:pPr>
      <w:widowControl/>
      <w:spacing w:before="100" w:beforeAutospacing="1" w:after="100" w:afterAutospacing="1"/>
      <w:jc w:val="left"/>
    </w:pPr>
    <w:rPr>
      <w:rFonts w:ascii="宋体" w:hAnsi="宋体" w:cs="宋体"/>
      <w:kern w:val="0"/>
      <w:sz w:val="24"/>
    </w:rPr>
  </w:style>
  <w:style w:type="character" w:customStyle="1" w:styleId="11">
    <w:name w:val="11"/>
    <w:basedOn w:val="a0"/>
    <w:rsid w:val="00944DEE"/>
    <w:rPr>
      <w:sz w:val="18"/>
      <w:szCs w:val="18"/>
    </w:rPr>
  </w:style>
  <w:style w:type="paragraph" w:customStyle="1" w:styleId="reader-word-layer">
    <w:name w:val="reader-word-layer"/>
    <w:basedOn w:val="a"/>
    <w:rsid w:val="002F6C9F"/>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rsid w:val="004C46AC"/>
    <w:rPr>
      <w:b/>
      <w:bCs/>
      <w:kern w:val="2"/>
      <w:sz w:val="32"/>
      <w:szCs w:val="32"/>
    </w:rPr>
  </w:style>
  <w:style w:type="paragraph" w:styleId="a7">
    <w:name w:val="List Paragraph"/>
    <w:basedOn w:val="a"/>
    <w:qFormat/>
    <w:rsid w:val="004C46A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86718392">
      <w:bodyDiv w:val="1"/>
      <w:marLeft w:val="0"/>
      <w:marRight w:val="0"/>
      <w:marTop w:val="100"/>
      <w:marBottom w:val="100"/>
      <w:divBdr>
        <w:top w:val="none" w:sz="0" w:space="0" w:color="auto"/>
        <w:left w:val="none" w:sz="0" w:space="0" w:color="auto"/>
        <w:bottom w:val="none" w:sz="0" w:space="0" w:color="auto"/>
        <w:right w:val="none" w:sz="0" w:space="0" w:color="auto"/>
      </w:divBdr>
      <w:divsChild>
        <w:div w:id="2132479384">
          <w:marLeft w:val="0"/>
          <w:marRight w:val="0"/>
          <w:marTop w:val="0"/>
          <w:marBottom w:val="0"/>
          <w:divBdr>
            <w:top w:val="none" w:sz="0" w:space="0" w:color="auto"/>
            <w:left w:val="none" w:sz="0" w:space="0" w:color="auto"/>
            <w:bottom w:val="none" w:sz="0" w:space="0" w:color="auto"/>
            <w:right w:val="none" w:sz="0" w:space="0" w:color="auto"/>
          </w:divBdr>
          <w:divsChild>
            <w:div w:id="1287079560">
              <w:marLeft w:val="0"/>
              <w:marRight w:val="0"/>
              <w:marTop w:val="0"/>
              <w:marBottom w:val="0"/>
              <w:divBdr>
                <w:top w:val="none" w:sz="0" w:space="0" w:color="auto"/>
                <w:left w:val="none" w:sz="0" w:space="0" w:color="auto"/>
                <w:bottom w:val="none" w:sz="0" w:space="0" w:color="auto"/>
                <w:right w:val="none" w:sz="0" w:space="0" w:color="auto"/>
              </w:divBdr>
              <w:divsChild>
                <w:div w:id="1971088150">
                  <w:marLeft w:val="0"/>
                  <w:marRight w:val="0"/>
                  <w:marTop w:val="0"/>
                  <w:marBottom w:val="0"/>
                  <w:divBdr>
                    <w:top w:val="none" w:sz="0" w:space="0" w:color="auto"/>
                    <w:left w:val="none" w:sz="0" w:space="0" w:color="auto"/>
                    <w:bottom w:val="none" w:sz="0" w:space="0" w:color="auto"/>
                    <w:right w:val="none" w:sz="0" w:space="0" w:color="auto"/>
                  </w:divBdr>
                  <w:divsChild>
                    <w:div w:id="171459502">
                      <w:marLeft w:val="0"/>
                      <w:marRight w:val="0"/>
                      <w:marTop w:val="0"/>
                      <w:marBottom w:val="0"/>
                      <w:divBdr>
                        <w:top w:val="none" w:sz="0" w:space="0" w:color="auto"/>
                        <w:left w:val="none" w:sz="0" w:space="0" w:color="auto"/>
                        <w:bottom w:val="none" w:sz="0" w:space="0" w:color="auto"/>
                        <w:right w:val="none" w:sz="0" w:space="0" w:color="auto"/>
                      </w:divBdr>
                      <w:divsChild>
                        <w:div w:id="1285770205">
                          <w:marLeft w:val="0"/>
                          <w:marRight w:val="0"/>
                          <w:marTop w:val="0"/>
                          <w:marBottom w:val="0"/>
                          <w:divBdr>
                            <w:top w:val="none" w:sz="0" w:space="0" w:color="auto"/>
                            <w:left w:val="none" w:sz="0" w:space="0" w:color="auto"/>
                            <w:bottom w:val="none" w:sz="0" w:space="0" w:color="auto"/>
                            <w:right w:val="none" w:sz="0" w:space="0" w:color="auto"/>
                          </w:divBdr>
                          <w:divsChild>
                            <w:div w:id="1458521365">
                              <w:marLeft w:val="0"/>
                              <w:marRight w:val="0"/>
                              <w:marTop w:val="0"/>
                              <w:marBottom w:val="0"/>
                              <w:divBdr>
                                <w:top w:val="none" w:sz="0" w:space="0" w:color="auto"/>
                                <w:left w:val="none" w:sz="0" w:space="0" w:color="auto"/>
                                <w:bottom w:val="none" w:sz="0" w:space="0" w:color="auto"/>
                                <w:right w:val="none" w:sz="0" w:space="0" w:color="auto"/>
                              </w:divBdr>
                              <w:divsChild>
                                <w:div w:id="306783907">
                                  <w:marLeft w:val="0"/>
                                  <w:marRight w:val="0"/>
                                  <w:marTop w:val="0"/>
                                  <w:marBottom w:val="0"/>
                                  <w:divBdr>
                                    <w:top w:val="none" w:sz="0" w:space="0" w:color="auto"/>
                                    <w:left w:val="none" w:sz="0" w:space="0" w:color="auto"/>
                                    <w:bottom w:val="none" w:sz="0" w:space="0" w:color="auto"/>
                                    <w:right w:val="none" w:sz="0" w:space="0" w:color="auto"/>
                                  </w:divBdr>
                                  <w:divsChild>
                                    <w:div w:id="882643636">
                                      <w:marLeft w:val="0"/>
                                      <w:marRight w:val="0"/>
                                      <w:marTop w:val="0"/>
                                      <w:marBottom w:val="0"/>
                                      <w:divBdr>
                                        <w:top w:val="none" w:sz="0" w:space="0" w:color="auto"/>
                                        <w:left w:val="none" w:sz="0" w:space="0" w:color="auto"/>
                                        <w:bottom w:val="none" w:sz="0" w:space="0" w:color="auto"/>
                                        <w:right w:val="none" w:sz="0" w:space="0" w:color="auto"/>
                                      </w:divBdr>
                                      <w:divsChild>
                                        <w:div w:id="1260717084">
                                          <w:marLeft w:val="0"/>
                                          <w:marRight w:val="0"/>
                                          <w:marTop w:val="0"/>
                                          <w:marBottom w:val="0"/>
                                          <w:divBdr>
                                            <w:top w:val="none" w:sz="0" w:space="0" w:color="auto"/>
                                            <w:left w:val="none" w:sz="0" w:space="0" w:color="auto"/>
                                            <w:bottom w:val="none" w:sz="0" w:space="0" w:color="auto"/>
                                            <w:right w:val="none" w:sz="0" w:space="0" w:color="auto"/>
                                          </w:divBdr>
                                          <w:divsChild>
                                            <w:div w:id="1323313687">
                                              <w:marLeft w:val="0"/>
                                              <w:marRight w:val="0"/>
                                              <w:marTop w:val="0"/>
                                              <w:marBottom w:val="0"/>
                                              <w:divBdr>
                                                <w:top w:val="none" w:sz="0" w:space="0" w:color="auto"/>
                                                <w:left w:val="none" w:sz="0" w:space="0" w:color="auto"/>
                                                <w:bottom w:val="none" w:sz="0" w:space="0" w:color="auto"/>
                                                <w:right w:val="none" w:sz="0" w:space="0" w:color="auto"/>
                                              </w:divBdr>
                                              <w:divsChild>
                                                <w:div w:id="766199068">
                                                  <w:marLeft w:val="0"/>
                                                  <w:marRight w:val="0"/>
                                                  <w:marTop w:val="0"/>
                                                  <w:marBottom w:val="0"/>
                                                  <w:divBdr>
                                                    <w:top w:val="none" w:sz="0" w:space="0" w:color="auto"/>
                                                    <w:left w:val="none" w:sz="0" w:space="0" w:color="auto"/>
                                                    <w:bottom w:val="none" w:sz="0" w:space="0" w:color="auto"/>
                                                    <w:right w:val="none" w:sz="0" w:space="0" w:color="auto"/>
                                                  </w:divBdr>
                                                  <w:divsChild>
                                                    <w:div w:id="989363303">
                                                      <w:marLeft w:val="0"/>
                                                      <w:marRight w:val="0"/>
                                                      <w:marTop w:val="0"/>
                                                      <w:marBottom w:val="0"/>
                                                      <w:divBdr>
                                                        <w:top w:val="none" w:sz="0" w:space="0" w:color="auto"/>
                                                        <w:left w:val="none" w:sz="0" w:space="0" w:color="auto"/>
                                                        <w:bottom w:val="none" w:sz="0" w:space="0" w:color="auto"/>
                                                        <w:right w:val="none" w:sz="0" w:space="0" w:color="auto"/>
                                                      </w:divBdr>
                                                      <w:divsChild>
                                                        <w:div w:id="854929012">
                                                          <w:marLeft w:val="0"/>
                                                          <w:marRight w:val="0"/>
                                                          <w:marTop w:val="0"/>
                                                          <w:marBottom w:val="0"/>
                                                          <w:divBdr>
                                                            <w:top w:val="none" w:sz="0" w:space="0" w:color="auto"/>
                                                            <w:left w:val="none" w:sz="0" w:space="0" w:color="auto"/>
                                                            <w:bottom w:val="none" w:sz="0" w:space="0" w:color="auto"/>
                                                            <w:right w:val="none" w:sz="0" w:space="0" w:color="auto"/>
                                                          </w:divBdr>
                                                          <w:divsChild>
                                                            <w:div w:id="1116370516">
                                                              <w:marLeft w:val="0"/>
                                                              <w:marRight w:val="0"/>
                                                              <w:marTop w:val="0"/>
                                                              <w:marBottom w:val="0"/>
                                                              <w:divBdr>
                                                                <w:top w:val="none" w:sz="0" w:space="0" w:color="auto"/>
                                                                <w:left w:val="none" w:sz="0" w:space="0" w:color="auto"/>
                                                                <w:bottom w:val="none" w:sz="0" w:space="0" w:color="auto"/>
                                                                <w:right w:val="none" w:sz="0" w:space="0" w:color="auto"/>
                                                              </w:divBdr>
                                                              <w:divsChild>
                                                                <w:div w:id="306320947">
                                                                  <w:marLeft w:val="0"/>
                                                                  <w:marRight w:val="0"/>
                                                                  <w:marTop w:val="0"/>
                                                                  <w:marBottom w:val="0"/>
                                                                  <w:divBdr>
                                                                    <w:top w:val="none" w:sz="0" w:space="0" w:color="auto"/>
                                                                    <w:left w:val="none" w:sz="0" w:space="0" w:color="auto"/>
                                                                    <w:bottom w:val="none" w:sz="0" w:space="0" w:color="auto"/>
                                                                    <w:right w:val="none" w:sz="0" w:space="0" w:color="auto"/>
                                                                  </w:divBdr>
                                                                  <w:divsChild>
                                                                    <w:div w:id="1706367078">
                                                                      <w:marLeft w:val="0"/>
                                                                      <w:marRight w:val="0"/>
                                                                      <w:marTop w:val="0"/>
                                                                      <w:marBottom w:val="0"/>
                                                                      <w:divBdr>
                                                                        <w:top w:val="none" w:sz="0" w:space="0" w:color="auto"/>
                                                                        <w:left w:val="none" w:sz="0" w:space="0" w:color="auto"/>
                                                                        <w:bottom w:val="none" w:sz="0" w:space="0" w:color="auto"/>
                                                                        <w:right w:val="none" w:sz="0" w:space="0" w:color="auto"/>
                                                                      </w:divBdr>
                                                                      <w:divsChild>
                                                                        <w:div w:id="535850094">
                                                                          <w:marLeft w:val="0"/>
                                                                          <w:marRight w:val="0"/>
                                                                          <w:marTop w:val="0"/>
                                                                          <w:marBottom w:val="0"/>
                                                                          <w:divBdr>
                                                                            <w:top w:val="none" w:sz="0" w:space="0" w:color="auto"/>
                                                                            <w:left w:val="none" w:sz="0" w:space="0" w:color="auto"/>
                                                                            <w:bottom w:val="none" w:sz="0" w:space="0" w:color="auto"/>
                                                                            <w:right w:val="none" w:sz="0" w:space="0" w:color="auto"/>
                                                                          </w:divBdr>
                                                                          <w:divsChild>
                                                                            <w:div w:id="20036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212703">
      <w:bodyDiv w:val="1"/>
      <w:marLeft w:val="0"/>
      <w:marRight w:val="0"/>
      <w:marTop w:val="0"/>
      <w:marBottom w:val="0"/>
      <w:divBdr>
        <w:top w:val="none" w:sz="0" w:space="0" w:color="auto"/>
        <w:left w:val="none" w:sz="0" w:space="0" w:color="auto"/>
        <w:bottom w:val="none" w:sz="0" w:space="0" w:color="auto"/>
        <w:right w:val="none" w:sz="0" w:space="0" w:color="auto"/>
      </w:divBdr>
    </w:div>
    <w:div w:id="1280531385">
      <w:bodyDiv w:val="1"/>
      <w:marLeft w:val="0"/>
      <w:marRight w:val="0"/>
      <w:marTop w:val="0"/>
      <w:marBottom w:val="0"/>
      <w:divBdr>
        <w:top w:val="none" w:sz="0" w:space="0" w:color="auto"/>
        <w:left w:val="none" w:sz="0" w:space="0" w:color="auto"/>
        <w:bottom w:val="none" w:sz="0" w:space="0" w:color="auto"/>
        <w:right w:val="none" w:sz="0" w:space="0" w:color="auto"/>
      </w:divBdr>
      <w:divsChild>
        <w:div w:id="451166798">
          <w:marLeft w:val="0"/>
          <w:marRight w:val="0"/>
          <w:marTop w:val="60"/>
          <w:marBottom w:val="100"/>
          <w:divBdr>
            <w:top w:val="none" w:sz="0" w:space="0" w:color="auto"/>
            <w:left w:val="none" w:sz="0" w:space="0" w:color="auto"/>
            <w:bottom w:val="none" w:sz="0" w:space="0" w:color="auto"/>
            <w:right w:val="none" w:sz="0" w:space="0" w:color="auto"/>
          </w:divBdr>
          <w:divsChild>
            <w:div w:id="20548455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6914237">
      <w:bodyDiv w:val="1"/>
      <w:marLeft w:val="0"/>
      <w:marRight w:val="0"/>
      <w:marTop w:val="100"/>
      <w:marBottom w:val="100"/>
      <w:divBdr>
        <w:top w:val="none" w:sz="0" w:space="0" w:color="auto"/>
        <w:left w:val="none" w:sz="0" w:space="0" w:color="auto"/>
        <w:bottom w:val="none" w:sz="0" w:space="0" w:color="auto"/>
        <w:right w:val="none" w:sz="0" w:space="0" w:color="auto"/>
      </w:divBdr>
      <w:divsChild>
        <w:div w:id="1475835698">
          <w:marLeft w:val="0"/>
          <w:marRight w:val="0"/>
          <w:marTop w:val="0"/>
          <w:marBottom w:val="0"/>
          <w:divBdr>
            <w:top w:val="none" w:sz="0" w:space="0" w:color="auto"/>
            <w:left w:val="none" w:sz="0" w:space="0" w:color="auto"/>
            <w:bottom w:val="none" w:sz="0" w:space="0" w:color="auto"/>
            <w:right w:val="none" w:sz="0" w:space="0" w:color="auto"/>
          </w:divBdr>
          <w:divsChild>
            <w:div w:id="440495511">
              <w:marLeft w:val="0"/>
              <w:marRight w:val="0"/>
              <w:marTop w:val="0"/>
              <w:marBottom w:val="0"/>
              <w:divBdr>
                <w:top w:val="none" w:sz="0" w:space="0" w:color="auto"/>
                <w:left w:val="none" w:sz="0" w:space="0" w:color="auto"/>
                <w:bottom w:val="none" w:sz="0" w:space="0" w:color="auto"/>
                <w:right w:val="none" w:sz="0" w:space="0" w:color="auto"/>
              </w:divBdr>
              <w:divsChild>
                <w:div w:id="1642922855">
                  <w:marLeft w:val="0"/>
                  <w:marRight w:val="0"/>
                  <w:marTop w:val="0"/>
                  <w:marBottom w:val="0"/>
                  <w:divBdr>
                    <w:top w:val="none" w:sz="0" w:space="0" w:color="auto"/>
                    <w:left w:val="none" w:sz="0" w:space="0" w:color="auto"/>
                    <w:bottom w:val="none" w:sz="0" w:space="0" w:color="auto"/>
                    <w:right w:val="none" w:sz="0" w:space="0" w:color="auto"/>
                  </w:divBdr>
                  <w:divsChild>
                    <w:div w:id="542866303">
                      <w:marLeft w:val="0"/>
                      <w:marRight w:val="0"/>
                      <w:marTop w:val="0"/>
                      <w:marBottom w:val="0"/>
                      <w:divBdr>
                        <w:top w:val="none" w:sz="0" w:space="0" w:color="auto"/>
                        <w:left w:val="none" w:sz="0" w:space="0" w:color="auto"/>
                        <w:bottom w:val="none" w:sz="0" w:space="0" w:color="auto"/>
                        <w:right w:val="none" w:sz="0" w:space="0" w:color="auto"/>
                      </w:divBdr>
                      <w:divsChild>
                        <w:div w:id="21369781">
                          <w:marLeft w:val="0"/>
                          <w:marRight w:val="0"/>
                          <w:marTop w:val="0"/>
                          <w:marBottom w:val="0"/>
                          <w:divBdr>
                            <w:top w:val="none" w:sz="0" w:space="0" w:color="auto"/>
                            <w:left w:val="none" w:sz="0" w:space="0" w:color="auto"/>
                            <w:bottom w:val="none" w:sz="0" w:space="0" w:color="auto"/>
                            <w:right w:val="none" w:sz="0" w:space="0" w:color="auto"/>
                          </w:divBdr>
                          <w:divsChild>
                            <w:div w:id="1664352890">
                              <w:marLeft w:val="0"/>
                              <w:marRight w:val="0"/>
                              <w:marTop w:val="0"/>
                              <w:marBottom w:val="0"/>
                              <w:divBdr>
                                <w:top w:val="none" w:sz="0" w:space="0" w:color="auto"/>
                                <w:left w:val="none" w:sz="0" w:space="0" w:color="auto"/>
                                <w:bottom w:val="none" w:sz="0" w:space="0" w:color="auto"/>
                                <w:right w:val="none" w:sz="0" w:space="0" w:color="auto"/>
                              </w:divBdr>
                              <w:divsChild>
                                <w:div w:id="67189677">
                                  <w:marLeft w:val="0"/>
                                  <w:marRight w:val="0"/>
                                  <w:marTop w:val="0"/>
                                  <w:marBottom w:val="0"/>
                                  <w:divBdr>
                                    <w:top w:val="none" w:sz="0" w:space="0" w:color="auto"/>
                                    <w:left w:val="none" w:sz="0" w:space="0" w:color="auto"/>
                                    <w:bottom w:val="none" w:sz="0" w:space="0" w:color="auto"/>
                                    <w:right w:val="none" w:sz="0" w:space="0" w:color="auto"/>
                                  </w:divBdr>
                                  <w:divsChild>
                                    <w:div w:id="501891770">
                                      <w:marLeft w:val="0"/>
                                      <w:marRight w:val="0"/>
                                      <w:marTop w:val="0"/>
                                      <w:marBottom w:val="0"/>
                                      <w:divBdr>
                                        <w:top w:val="none" w:sz="0" w:space="0" w:color="auto"/>
                                        <w:left w:val="none" w:sz="0" w:space="0" w:color="auto"/>
                                        <w:bottom w:val="none" w:sz="0" w:space="0" w:color="auto"/>
                                        <w:right w:val="none" w:sz="0" w:space="0" w:color="auto"/>
                                      </w:divBdr>
                                      <w:divsChild>
                                        <w:div w:id="838159486">
                                          <w:marLeft w:val="0"/>
                                          <w:marRight w:val="0"/>
                                          <w:marTop w:val="0"/>
                                          <w:marBottom w:val="0"/>
                                          <w:divBdr>
                                            <w:top w:val="none" w:sz="0" w:space="0" w:color="auto"/>
                                            <w:left w:val="none" w:sz="0" w:space="0" w:color="auto"/>
                                            <w:bottom w:val="none" w:sz="0" w:space="0" w:color="auto"/>
                                            <w:right w:val="none" w:sz="0" w:space="0" w:color="auto"/>
                                          </w:divBdr>
                                          <w:divsChild>
                                            <w:div w:id="835078377">
                                              <w:marLeft w:val="0"/>
                                              <w:marRight w:val="0"/>
                                              <w:marTop w:val="0"/>
                                              <w:marBottom w:val="0"/>
                                              <w:divBdr>
                                                <w:top w:val="none" w:sz="0" w:space="0" w:color="auto"/>
                                                <w:left w:val="none" w:sz="0" w:space="0" w:color="auto"/>
                                                <w:bottom w:val="none" w:sz="0" w:space="0" w:color="auto"/>
                                                <w:right w:val="none" w:sz="0" w:space="0" w:color="auto"/>
                                              </w:divBdr>
                                              <w:divsChild>
                                                <w:div w:id="590549098">
                                                  <w:marLeft w:val="0"/>
                                                  <w:marRight w:val="0"/>
                                                  <w:marTop w:val="0"/>
                                                  <w:marBottom w:val="0"/>
                                                  <w:divBdr>
                                                    <w:top w:val="none" w:sz="0" w:space="0" w:color="auto"/>
                                                    <w:left w:val="none" w:sz="0" w:space="0" w:color="auto"/>
                                                    <w:bottom w:val="none" w:sz="0" w:space="0" w:color="auto"/>
                                                    <w:right w:val="none" w:sz="0" w:space="0" w:color="auto"/>
                                                  </w:divBdr>
                                                  <w:divsChild>
                                                    <w:div w:id="718169977">
                                                      <w:marLeft w:val="0"/>
                                                      <w:marRight w:val="0"/>
                                                      <w:marTop w:val="0"/>
                                                      <w:marBottom w:val="0"/>
                                                      <w:divBdr>
                                                        <w:top w:val="none" w:sz="0" w:space="0" w:color="auto"/>
                                                        <w:left w:val="none" w:sz="0" w:space="0" w:color="auto"/>
                                                        <w:bottom w:val="none" w:sz="0" w:space="0" w:color="auto"/>
                                                        <w:right w:val="none" w:sz="0" w:space="0" w:color="auto"/>
                                                      </w:divBdr>
                                                      <w:divsChild>
                                                        <w:div w:id="245657155">
                                                          <w:marLeft w:val="0"/>
                                                          <w:marRight w:val="0"/>
                                                          <w:marTop w:val="0"/>
                                                          <w:marBottom w:val="0"/>
                                                          <w:divBdr>
                                                            <w:top w:val="none" w:sz="0" w:space="0" w:color="auto"/>
                                                            <w:left w:val="none" w:sz="0" w:space="0" w:color="auto"/>
                                                            <w:bottom w:val="none" w:sz="0" w:space="0" w:color="auto"/>
                                                            <w:right w:val="none" w:sz="0" w:space="0" w:color="auto"/>
                                                          </w:divBdr>
                                                          <w:divsChild>
                                                            <w:div w:id="1901090319">
                                                              <w:marLeft w:val="0"/>
                                                              <w:marRight w:val="0"/>
                                                              <w:marTop w:val="0"/>
                                                              <w:marBottom w:val="0"/>
                                                              <w:divBdr>
                                                                <w:top w:val="none" w:sz="0" w:space="0" w:color="auto"/>
                                                                <w:left w:val="none" w:sz="0" w:space="0" w:color="auto"/>
                                                                <w:bottom w:val="none" w:sz="0" w:space="0" w:color="auto"/>
                                                                <w:right w:val="none" w:sz="0" w:space="0" w:color="auto"/>
                                                              </w:divBdr>
                                                              <w:divsChild>
                                                                <w:div w:id="1599170533">
                                                                  <w:marLeft w:val="0"/>
                                                                  <w:marRight w:val="0"/>
                                                                  <w:marTop w:val="0"/>
                                                                  <w:marBottom w:val="0"/>
                                                                  <w:divBdr>
                                                                    <w:top w:val="none" w:sz="0" w:space="0" w:color="auto"/>
                                                                    <w:left w:val="none" w:sz="0" w:space="0" w:color="auto"/>
                                                                    <w:bottom w:val="none" w:sz="0" w:space="0" w:color="auto"/>
                                                                    <w:right w:val="none" w:sz="0" w:space="0" w:color="auto"/>
                                                                  </w:divBdr>
                                                                  <w:divsChild>
                                                                    <w:div w:id="772242029">
                                                                      <w:marLeft w:val="0"/>
                                                                      <w:marRight w:val="0"/>
                                                                      <w:marTop w:val="0"/>
                                                                      <w:marBottom w:val="0"/>
                                                                      <w:divBdr>
                                                                        <w:top w:val="none" w:sz="0" w:space="0" w:color="auto"/>
                                                                        <w:left w:val="none" w:sz="0" w:space="0" w:color="auto"/>
                                                                        <w:bottom w:val="none" w:sz="0" w:space="0" w:color="auto"/>
                                                                        <w:right w:val="none" w:sz="0" w:space="0" w:color="auto"/>
                                                                      </w:divBdr>
                                                                      <w:divsChild>
                                                                        <w:div w:id="1437096113">
                                                                          <w:marLeft w:val="0"/>
                                                                          <w:marRight w:val="0"/>
                                                                          <w:marTop w:val="0"/>
                                                                          <w:marBottom w:val="0"/>
                                                                          <w:divBdr>
                                                                            <w:top w:val="none" w:sz="0" w:space="0" w:color="auto"/>
                                                                            <w:left w:val="none" w:sz="0" w:space="0" w:color="auto"/>
                                                                            <w:bottom w:val="none" w:sz="0" w:space="0" w:color="auto"/>
                                                                            <w:right w:val="none" w:sz="0" w:space="0" w:color="auto"/>
                                                                          </w:divBdr>
                                                                          <w:divsChild>
                                                                            <w:div w:id="1142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791271">
      <w:bodyDiv w:val="1"/>
      <w:marLeft w:val="0"/>
      <w:marRight w:val="0"/>
      <w:marTop w:val="100"/>
      <w:marBottom w:val="100"/>
      <w:divBdr>
        <w:top w:val="none" w:sz="0" w:space="0" w:color="auto"/>
        <w:left w:val="none" w:sz="0" w:space="0" w:color="auto"/>
        <w:bottom w:val="none" w:sz="0" w:space="0" w:color="auto"/>
        <w:right w:val="none" w:sz="0" w:space="0" w:color="auto"/>
      </w:divBdr>
      <w:divsChild>
        <w:div w:id="294410672">
          <w:marLeft w:val="0"/>
          <w:marRight w:val="0"/>
          <w:marTop w:val="0"/>
          <w:marBottom w:val="0"/>
          <w:divBdr>
            <w:top w:val="none" w:sz="0" w:space="0" w:color="auto"/>
            <w:left w:val="none" w:sz="0" w:space="0" w:color="auto"/>
            <w:bottom w:val="none" w:sz="0" w:space="0" w:color="auto"/>
            <w:right w:val="none" w:sz="0" w:space="0" w:color="auto"/>
          </w:divBdr>
          <w:divsChild>
            <w:div w:id="1855412434">
              <w:marLeft w:val="0"/>
              <w:marRight w:val="0"/>
              <w:marTop w:val="0"/>
              <w:marBottom w:val="0"/>
              <w:divBdr>
                <w:top w:val="none" w:sz="0" w:space="0" w:color="auto"/>
                <w:left w:val="none" w:sz="0" w:space="0" w:color="auto"/>
                <w:bottom w:val="none" w:sz="0" w:space="0" w:color="auto"/>
                <w:right w:val="none" w:sz="0" w:space="0" w:color="auto"/>
              </w:divBdr>
              <w:divsChild>
                <w:div w:id="1730614753">
                  <w:marLeft w:val="0"/>
                  <w:marRight w:val="0"/>
                  <w:marTop w:val="0"/>
                  <w:marBottom w:val="0"/>
                  <w:divBdr>
                    <w:top w:val="none" w:sz="0" w:space="0" w:color="auto"/>
                    <w:left w:val="none" w:sz="0" w:space="0" w:color="auto"/>
                    <w:bottom w:val="none" w:sz="0" w:space="0" w:color="auto"/>
                    <w:right w:val="none" w:sz="0" w:space="0" w:color="auto"/>
                  </w:divBdr>
                  <w:divsChild>
                    <w:div w:id="1753431504">
                      <w:marLeft w:val="0"/>
                      <w:marRight w:val="0"/>
                      <w:marTop w:val="0"/>
                      <w:marBottom w:val="0"/>
                      <w:divBdr>
                        <w:top w:val="none" w:sz="0" w:space="0" w:color="auto"/>
                        <w:left w:val="none" w:sz="0" w:space="0" w:color="auto"/>
                        <w:bottom w:val="none" w:sz="0" w:space="0" w:color="auto"/>
                        <w:right w:val="none" w:sz="0" w:space="0" w:color="auto"/>
                      </w:divBdr>
                      <w:divsChild>
                        <w:div w:id="2093424832">
                          <w:marLeft w:val="0"/>
                          <w:marRight w:val="0"/>
                          <w:marTop w:val="0"/>
                          <w:marBottom w:val="0"/>
                          <w:divBdr>
                            <w:top w:val="none" w:sz="0" w:space="0" w:color="auto"/>
                            <w:left w:val="none" w:sz="0" w:space="0" w:color="auto"/>
                            <w:bottom w:val="none" w:sz="0" w:space="0" w:color="auto"/>
                            <w:right w:val="none" w:sz="0" w:space="0" w:color="auto"/>
                          </w:divBdr>
                          <w:divsChild>
                            <w:div w:id="741760377">
                              <w:marLeft w:val="0"/>
                              <w:marRight w:val="0"/>
                              <w:marTop w:val="0"/>
                              <w:marBottom w:val="0"/>
                              <w:divBdr>
                                <w:top w:val="none" w:sz="0" w:space="0" w:color="auto"/>
                                <w:left w:val="none" w:sz="0" w:space="0" w:color="auto"/>
                                <w:bottom w:val="none" w:sz="0" w:space="0" w:color="auto"/>
                                <w:right w:val="none" w:sz="0" w:space="0" w:color="auto"/>
                              </w:divBdr>
                              <w:divsChild>
                                <w:div w:id="1993093862">
                                  <w:marLeft w:val="0"/>
                                  <w:marRight w:val="0"/>
                                  <w:marTop w:val="0"/>
                                  <w:marBottom w:val="0"/>
                                  <w:divBdr>
                                    <w:top w:val="none" w:sz="0" w:space="0" w:color="auto"/>
                                    <w:left w:val="none" w:sz="0" w:space="0" w:color="auto"/>
                                    <w:bottom w:val="none" w:sz="0" w:space="0" w:color="auto"/>
                                    <w:right w:val="none" w:sz="0" w:space="0" w:color="auto"/>
                                  </w:divBdr>
                                  <w:divsChild>
                                    <w:div w:id="473104697">
                                      <w:marLeft w:val="0"/>
                                      <w:marRight w:val="0"/>
                                      <w:marTop w:val="0"/>
                                      <w:marBottom w:val="0"/>
                                      <w:divBdr>
                                        <w:top w:val="none" w:sz="0" w:space="0" w:color="auto"/>
                                        <w:left w:val="none" w:sz="0" w:space="0" w:color="auto"/>
                                        <w:bottom w:val="none" w:sz="0" w:space="0" w:color="auto"/>
                                        <w:right w:val="none" w:sz="0" w:space="0" w:color="auto"/>
                                      </w:divBdr>
                                      <w:divsChild>
                                        <w:div w:id="2009400838">
                                          <w:marLeft w:val="0"/>
                                          <w:marRight w:val="0"/>
                                          <w:marTop w:val="0"/>
                                          <w:marBottom w:val="0"/>
                                          <w:divBdr>
                                            <w:top w:val="none" w:sz="0" w:space="0" w:color="auto"/>
                                            <w:left w:val="none" w:sz="0" w:space="0" w:color="auto"/>
                                            <w:bottom w:val="none" w:sz="0" w:space="0" w:color="auto"/>
                                            <w:right w:val="none" w:sz="0" w:space="0" w:color="auto"/>
                                          </w:divBdr>
                                          <w:divsChild>
                                            <w:div w:id="778987680">
                                              <w:marLeft w:val="0"/>
                                              <w:marRight w:val="0"/>
                                              <w:marTop w:val="0"/>
                                              <w:marBottom w:val="0"/>
                                              <w:divBdr>
                                                <w:top w:val="none" w:sz="0" w:space="0" w:color="auto"/>
                                                <w:left w:val="none" w:sz="0" w:space="0" w:color="auto"/>
                                                <w:bottom w:val="none" w:sz="0" w:space="0" w:color="auto"/>
                                                <w:right w:val="none" w:sz="0" w:space="0" w:color="auto"/>
                                              </w:divBdr>
                                              <w:divsChild>
                                                <w:div w:id="190921176">
                                                  <w:marLeft w:val="0"/>
                                                  <w:marRight w:val="0"/>
                                                  <w:marTop w:val="0"/>
                                                  <w:marBottom w:val="0"/>
                                                  <w:divBdr>
                                                    <w:top w:val="none" w:sz="0" w:space="0" w:color="auto"/>
                                                    <w:left w:val="none" w:sz="0" w:space="0" w:color="auto"/>
                                                    <w:bottom w:val="none" w:sz="0" w:space="0" w:color="auto"/>
                                                    <w:right w:val="none" w:sz="0" w:space="0" w:color="auto"/>
                                                  </w:divBdr>
                                                  <w:divsChild>
                                                    <w:div w:id="1736127772">
                                                      <w:marLeft w:val="0"/>
                                                      <w:marRight w:val="0"/>
                                                      <w:marTop w:val="0"/>
                                                      <w:marBottom w:val="0"/>
                                                      <w:divBdr>
                                                        <w:top w:val="none" w:sz="0" w:space="0" w:color="auto"/>
                                                        <w:left w:val="none" w:sz="0" w:space="0" w:color="auto"/>
                                                        <w:bottom w:val="none" w:sz="0" w:space="0" w:color="auto"/>
                                                        <w:right w:val="none" w:sz="0" w:space="0" w:color="auto"/>
                                                      </w:divBdr>
                                                      <w:divsChild>
                                                        <w:div w:id="700012282">
                                                          <w:marLeft w:val="0"/>
                                                          <w:marRight w:val="0"/>
                                                          <w:marTop w:val="0"/>
                                                          <w:marBottom w:val="0"/>
                                                          <w:divBdr>
                                                            <w:top w:val="none" w:sz="0" w:space="0" w:color="auto"/>
                                                            <w:left w:val="none" w:sz="0" w:space="0" w:color="auto"/>
                                                            <w:bottom w:val="none" w:sz="0" w:space="0" w:color="auto"/>
                                                            <w:right w:val="none" w:sz="0" w:space="0" w:color="auto"/>
                                                          </w:divBdr>
                                                          <w:divsChild>
                                                            <w:div w:id="647175077">
                                                              <w:marLeft w:val="0"/>
                                                              <w:marRight w:val="0"/>
                                                              <w:marTop w:val="0"/>
                                                              <w:marBottom w:val="0"/>
                                                              <w:divBdr>
                                                                <w:top w:val="none" w:sz="0" w:space="0" w:color="auto"/>
                                                                <w:left w:val="none" w:sz="0" w:space="0" w:color="auto"/>
                                                                <w:bottom w:val="none" w:sz="0" w:space="0" w:color="auto"/>
                                                                <w:right w:val="none" w:sz="0" w:space="0" w:color="auto"/>
                                                              </w:divBdr>
                                                              <w:divsChild>
                                                                <w:div w:id="263273200">
                                                                  <w:marLeft w:val="0"/>
                                                                  <w:marRight w:val="0"/>
                                                                  <w:marTop w:val="0"/>
                                                                  <w:marBottom w:val="0"/>
                                                                  <w:divBdr>
                                                                    <w:top w:val="none" w:sz="0" w:space="0" w:color="auto"/>
                                                                    <w:left w:val="none" w:sz="0" w:space="0" w:color="auto"/>
                                                                    <w:bottom w:val="none" w:sz="0" w:space="0" w:color="auto"/>
                                                                    <w:right w:val="none" w:sz="0" w:space="0" w:color="auto"/>
                                                                  </w:divBdr>
                                                                  <w:divsChild>
                                                                    <w:div w:id="1048144624">
                                                                      <w:marLeft w:val="0"/>
                                                                      <w:marRight w:val="0"/>
                                                                      <w:marTop w:val="0"/>
                                                                      <w:marBottom w:val="0"/>
                                                                      <w:divBdr>
                                                                        <w:top w:val="none" w:sz="0" w:space="0" w:color="auto"/>
                                                                        <w:left w:val="none" w:sz="0" w:space="0" w:color="auto"/>
                                                                        <w:bottom w:val="none" w:sz="0" w:space="0" w:color="auto"/>
                                                                        <w:right w:val="none" w:sz="0" w:space="0" w:color="auto"/>
                                                                      </w:divBdr>
                                                                      <w:divsChild>
                                                                        <w:div w:id="243994860">
                                                                          <w:marLeft w:val="0"/>
                                                                          <w:marRight w:val="0"/>
                                                                          <w:marTop w:val="0"/>
                                                                          <w:marBottom w:val="0"/>
                                                                          <w:divBdr>
                                                                            <w:top w:val="none" w:sz="0" w:space="0" w:color="auto"/>
                                                                            <w:left w:val="none" w:sz="0" w:space="0" w:color="auto"/>
                                                                            <w:bottom w:val="none" w:sz="0" w:space="0" w:color="auto"/>
                                                                            <w:right w:val="none" w:sz="0" w:space="0" w:color="auto"/>
                                                                          </w:divBdr>
                                                                          <w:divsChild>
                                                                            <w:div w:id="12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648482">
      <w:bodyDiv w:val="1"/>
      <w:marLeft w:val="0"/>
      <w:marRight w:val="0"/>
      <w:marTop w:val="100"/>
      <w:marBottom w:val="100"/>
      <w:divBdr>
        <w:top w:val="none" w:sz="0" w:space="0" w:color="auto"/>
        <w:left w:val="none" w:sz="0" w:space="0" w:color="auto"/>
        <w:bottom w:val="none" w:sz="0" w:space="0" w:color="auto"/>
        <w:right w:val="none" w:sz="0" w:space="0" w:color="auto"/>
      </w:divBdr>
      <w:divsChild>
        <w:div w:id="1971547760">
          <w:marLeft w:val="0"/>
          <w:marRight w:val="0"/>
          <w:marTop w:val="0"/>
          <w:marBottom w:val="0"/>
          <w:divBdr>
            <w:top w:val="none" w:sz="0" w:space="0" w:color="auto"/>
            <w:left w:val="none" w:sz="0" w:space="0" w:color="auto"/>
            <w:bottom w:val="none" w:sz="0" w:space="0" w:color="auto"/>
            <w:right w:val="none" w:sz="0" w:space="0" w:color="auto"/>
          </w:divBdr>
          <w:divsChild>
            <w:div w:id="1680808411">
              <w:marLeft w:val="0"/>
              <w:marRight w:val="0"/>
              <w:marTop w:val="0"/>
              <w:marBottom w:val="0"/>
              <w:divBdr>
                <w:top w:val="none" w:sz="0" w:space="0" w:color="auto"/>
                <w:left w:val="none" w:sz="0" w:space="0" w:color="auto"/>
                <w:bottom w:val="none" w:sz="0" w:space="0" w:color="auto"/>
                <w:right w:val="none" w:sz="0" w:space="0" w:color="auto"/>
              </w:divBdr>
              <w:divsChild>
                <w:div w:id="744228373">
                  <w:marLeft w:val="0"/>
                  <w:marRight w:val="0"/>
                  <w:marTop w:val="0"/>
                  <w:marBottom w:val="0"/>
                  <w:divBdr>
                    <w:top w:val="none" w:sz="0" w:space="0" w:color="auto"/>
                    <w:left w:val="none" w:sz="0" w:space="0" w:color="auto"/>
                    <w:bottom w:val="none" w:sz="0" w:space="0" w:color="auto"/>
                    <w:right w:val="none" w:sz="0" w:space="0" w:color="auto"/>
                  </w:divBdr>
                  <w:divsChild>
                    <w:div w:id="2001619978">
                      <w:marLeft w:val="0"/>
                      <w:marRight w:val="0"/>
                      <w:marTop w:val="0"/>
                      <w:marBottom w:val="0"/>
                      <w:divBdr>
                        <w:top w:val="none" w:sz="0" w:space="0" w:color="auto"/>
                        <w:left w:val="none" w:sz="0" w:space="0" w:color="auto"/>
                        <w:bottom w:val="none" w:sz="0" w:space="0" w:color="auto"/>
                        <w:right w:val="none" w:sz="0" w:space="0" w:color="auto"/>
                      </w:divBdr>
                      <w:divsChild>
                        <w:div w:id="733822913">
                          <w:marLeft w:val="0"/>
                          <w:marRight w:val="0"/>
                          <w:marTop w:val="0"/>
                          <w:marBottom w:val="0"/>
                          <w:divBdr>
                            <w:top w:val="none" w:sz="0" w:space="0" w:color="auto"/>
                            <w:left w:val="none" w:sz="0" w:space="0" w:color="auto"/>
                            <w:bottom w:val="none" w:sz="0" w:space="0" w:color="auto"/>
                            <w:right w:val="none" w:sz="0" w:space="0" w:color="auto"/>
                          </w:divBdr>
                          <w:divsChild>
                            <w:div w:id="988829153">
                              <w:marLeft w:val="0"/>
                              <w:marRight w:val="0"/>
                              <w:marTop w:val="0"/>
                              <w:marBottom w:val="0"/>
                              <w:divBdr>
                                <w:top w:val="none" w:sz="0" w:space="0" w:color="auto"/>
                                <w:left w:val="none" w:sz="0" w:space="0" w:color="auto"/>
                                <w:bottom w:val="none" w:sz="0" w:space="0" w:color="auto"/>
                                <w:right w:val="none" w:sz="0" w:space="0" w:color="auto"/>
                              </w:divBdr>
                              <w:divsChild>
                                <w:div w:id="1547108357">
                                  <w:marLeft w:val="0"/>
                                  <w:marRight w:val="0"/>
                                  <w:marTop w:val="0"/>
                                  <w:marBottom w:val="0"/>
                                  <w:divBdr>
                                    <w:top w:val="none" w:sz="0" w:space="0" w:color="auto"/>
                                    <w:left w:val="none" w:sz="0" w:space="0" w:color="auto"/>
                                    <w:bottom w:val="none" w:sz="0" w:space="0" w:color="auto"/>
                                    <w:right w:val="none" w:sz="0" w:space="0" w:color="auto"/>
                                  </w:divBdr>
                                  <w:divsChild>
                                    <w:div w:id="1858498920">
                                      <w:marLeft w:val="0"/>
                                      <w:marRight w:val="0"/>
                                      <w:marTop w:val="0"/>
                                      <w:marBottom w:val="0"/>
                                      <w:divBdr>
                                        <w:top w:val="none" w:sz="0" w:space="0" w:color="auto"/>
                                        <w:left w:val="none" w:sz="0" w:space="0" w:color="auto"/>
                                        <w:bottom w:val="none" w:sz="0" w:space="0" w:color="auto"/>
                                        <w:right w:val="none" w:sz="0" w:space="0" w:color="auto"/>
                                      </w:divBdr>
                                      <w:divsChild>
                                        <w:div w:id="1936085437">
                                          <w:marLeft w:val="0"/>
                                          <w:marRight w:val="0"/>
                                          <w:marTop w:val="0"/>
                                          <w:marBottom w:val="0"/>
                                          <w:divBdr>
                                            <w:top w:val="none" w:sz="0" w:space="0" w:color="auto"/>
                                            <w:left w:val="none" w:sz="0" w:space="0" w:color="auto"/>
                                            <w:bottom w:val="none" w:sz="0" w:space="0" w:color="auto"/>
                                            <w:right w:val="none" w:sz="0" w:space="0" w:color="auto"/>
                                          </w:divBdr>
                                          <w:divsChild>
                                            <w:div w:id="1526748199">
                                              <w:marLeft w:val="0"/>
                                              <w:marRight w:val="0"/>
                                              <w:marTop w:val="0"/>
                                              <w:marBottom w:val="0"/>
                                              <w:divBdr>
                                                <w:top w:val="none" w:sz="0" w:space="0" w:color="auto"/>
                                                <w:left w:val="none" w:sz="0" w:space="0" w:color="auto"/>
                                                <w:bottom w:val="none" w:sz="0" w:space="0" w:color="auto"/>
                                                <w:right w:val="none" w:sz="0" w:space="0" w:color="auto"/>
                                              </w:divBdr>
                                              <w:divsChild>
                                                <w:div w:id="1449395333">
                                                  <w:marLeft w:val="0"/>
                                                  <w:marRight w:val="0"/>
                                                  <w:marTop w:val="0"/>
                                                  <w:marBottom w:val="0"/>
                                                  <w:divBdr>
                                                    <w:top w:val="none" w:sz="0" w:space="0" w:color="auto"/>
                                                    <w:left w:val="none" w:sz="0" w:space="0" w:color="auto"/>
                                                    <w:bottom w:val="none" w:sz="0" w:space="0" w:color="auto"/>
                                                    <w:right w:val="none" w:sz="0" w:space="0" w:color="auto"/>
                                                  </w:divBdr>
                                                  <w:divsChild>
                                                    <w:div w:id="1169714826">
                                                      <w:marLeft w:val="0"/>
                                                      <w:marRight w:val="0"/>
                                                      <w:marTop w:val="0"/>
                                                      <w:marBottom w:val="0"/>
                                                      <w:divBdr>
                                                        <w:top w:val="none" w:sz="0" w:space="0" w:color="auto"/>
                                                        <w:left w:val="none" w:sz="0" w:space="0" w:color="auto"/>
                                                        <w:bottom w:val="none" w:sz="0" w:space="0" w:color="auto"/>
                                                        <w:right w:val="none" w:sz="0" w:space="0" w:color="auto"/>
                                                      </w:divBdr>
                                                      <w:divsChild>
                                                        <w:div w:id="1898127354">
                                                          <w:marLeft w:val="0"/>
                                                          <w:marRight w:val="0"/>
                                                          <w:marTop w:val="0"/>
                                                          <w:marBottom w:val="0"/>
                                                          <w:divBdr>
                                                            <w:top w:val="none" w:sz="0" w:space="0" w:color="auto"/>
                                                            <w:left w:val="none" w:sz="0" w:space="0" w:color="auto"/>
                                                            <w:bottom w:val="none" w:sz="0" w:space="0" w:color="auto"/>
                                                            <w:right w:val="none" w:sz="0" w:space="0" w:color="auto"/>
                                                          </w:divBdr>
                                                          <w:divsChild>
                                                            <w:div w:id="89662396">
                                                              <w:marLeft w:val="0"/>
                                                              <w:marRight w:val="0"/>
                                                              <w:marTop w:val="0"/>
                                                              <w:marBottom w:val="0"/>
                                                              <w:divBdr>
                                                                <w:top w:val="none" w:sz="0" w:space="0" w:color="auto"/>
                                                                <w:left w:val="none" w:sz="0" w:space="0" w:color="auto"/>
                                                                <w:bottom w:val="none" w:sz="0" w:space="0" w:color="auto"/>
                                                                <w:right w:val="none" w:sz="0" w:space="0" w:color="auto"/>
                                                              </w:divBdr>
                                                              <w:divsChild>
                                                                <w:div w:id="1995639509">
                                                                  <w:marLeft w:val="0"/>
                                                                  <w:marRight w:val="0"/>
                                                                  <w:marTop w:val="0"/>
                                                                  <w:marBottom w:val="0"/>
                                                                  <w:divBdr>
                                                                    <w:top w:val="none" w:sz="0" w:space="0" w:color="auto"/>
                                                                    <w:left w:val="none" w:sz="0" w:space="0" w:color="auto"/>
                                                                    <w:bottom w:val="none" w:sz="0" w:space="0" w:color="auto"/>
                                                                    <w:right w:val="none" w:sz="0" w:space="0" w:color="auto"/>
                                                                  </w:divBdr>
                                                                  <w:divsChild>
                                                                    <w:div w:id="1021124797">
                                                                      <w:marLeft w:val="0"/>
                                                                      <w:marRight w:val="0"/>
                                                                      <w:marTop w:val="0"/>
                                                                      <w:marBottom w:val="0"/>
                                                                      <w:divBdr>
                                                                        <w:top w:val="none" w:sz="0" w:space="0" w:color="auto"/>
                                                                        <w:left w:val="none" w:sz="0" w:space="0" w:color="auto"/>
                                                                        <w:bottom w:val="none" w:sz="0" w:space="0" w:color="auto"/>
                                                                        <w:right w:val="none" w:sz="0" w:space="0" w:color="auto"/>
                                                                      </w:divBdr>
                                                                      <w:divsChild>
                                                                        <w:div w:id="571041384">
                                                                          <w:marLeft w:val="0"/>
                                                                          <w:marRight w:val="0"/>
                                                                          <w:marTop w:val="0"/>
                                                                          <w:marBottom w:val="0"/>
                                                                          <w:divBdr>
                                                                            <w:top w:val="none" w:sz="0" w:space="0" w:color="auto"/>
                                                                            <w:left w:val="none" w:sz="0" w:space="0" w:color="auto"/>
                                                                            <w:bottom w:val="none" w:sz="0" w:space="0" w:color="auto"/>
                                                                            <w:right w:val="none" w:sz="0" w:space="0" w:color="auto"/>
                                                                          </w:divBdr>
                                                                          <w:divsChild>
                                                                            <w:div w:id="3694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454350">
      <w:bodyDiv w:val="1"/>
      <w:marLeft w:val="0"/>
      <w:marRight w:val="0"/>
      <w:marTop w:val="100"/>
      <w:marBottom w:val="100"/>
      <w:divBdr>
        <w:top w:val="none" w:sz="0" w:space="0" w:color="auto"/>
        <w:left w:val="none" w:sz="0" w:space="0" w:color="auto"/>
        <w:bottom w:val="none" w:sz="0" w:space="0" w:color="auto"/>
        <w:right w:val="none" w:sz="0" w:space="0" w:color="auto"/>
      </w:divBdr>
      <w:divsChild>
        <w:div w:id="419445053">
          <w:marLeft w:val="0"/>
          <w:marRight w:val="0"/>
          <w:marTop w:val="0"/>
          <w:marBottom w:val="0"/>
          <w:divBdr>
            <w:top w:val="none" w:sz="0" w:space="0" w:color="auto"/>
            <w:left w:val="none" w:sz="0" w:space="0" w:color="auto"/>
            <w:bottom w:val="none" w:sz="0" w:space="0" w:color="auto"/>
            <w:right w:val="none" w:sz="0" w:space="0" w:color="auto"/>
          </w:divBdr>
          <w:divsChild>
            <w:div w:id="1567036635">
              <w:marLeft w:val="0"/>
              <w:marRight w:val="0"/>
              <w:marTop w:val="0"/>
              <w:marBottom w:val="0"/>
              <w:divBdr>
                <w:top w:val="none" w:sz="0" w:space="0" w:color="auto"/>
                <w:left w:val="none" w:sz="0" w:space="0" w:color="auto"/>
                <w:bottom w:val="none" w:sz="0" w:space="0" w:color="auto"/>
                <w:right w:val="none" w:sz="0" w:space="0" w:color="auto"/>
              </w:divBdr>
              <w:divsChild>
                <w:div w:id="1281035320">
                  <w:marLeft w:val="0"/>
                  <w:marRight w:val="0"/>
                  <w:marTop w:val="0"/>
                  <w:marBottom w:val="0"/>
                  <w:divBdr>
                    <w:top w:val="none" w:sz="0" w:space="0" w:color="auto"/>
                    <w:left w:val="none" w:sz="0" w:space="0" w:color="auto"/>
                    <w:bottom w:val="none" w:sz="0" w:space="0" w:color="auto"/>
                    <w:right w:val="none" w:sz="0" w:space="0" w:color="auto"/>
                  </w:divBdr>
                  <w:divsChild>
                    <w:div w:id="620500805">
                      <w:marLeft w:val="0"/>
                      <w:marRight w:val="0"/>
                      <w:marTop w:val="0"/>
                      <w:marBottom w:val="0"/>
                      <w:divBdr>
                        <w:top w:val="none" w:sz="0" w:space="0" w:color="auto"/>
                        <w:left w:val="none" w:sz="0" w:space="0" w:color="auto"/>
                        <w:bottom w:val="none" w:sz="0" w:space="0" w:color="auto"/>
                        <w:right w:val="none" w:sz="0" w:space="0" w:color="auto"/>
                      </w:divBdr>
                      <w:divsChild>
                        <w:div w:id="368574488">
                          <w:marLeft w:val="0"/>
                          <w:marRight w:val="0"/>
                          <w:marTop w:val="0"/>
                          <w:marBottom w:val="0"/>
                          <w:divBdr>
                            <w:top w:val="none" w:sz="0" w:space="0" w:color="auto"/>
                            <w:left w:val="none" w:sz="0" w:space="0" w:color="auto"/>
                            <w:bottom w:val="none" w:sz="0" w:space="0" w:color="auto"/>
                            <w:right w:val="none" w:sz="0" w:space="0" w:color="auto"/>
                          </w:divBdr>
                          <w:divsChild>
                            <w:div w:id="848757357">
                              <w:marLeft w:val="0"/>
                              <w:marRight w:val="0"/>
                              <w:marTop w:val="0"/>
                              <w:marBottom w:val="0"/>
                              <w:divBdr>
                                <w:top w:val="none" w:sz="0" w:space="0" w:color="auto"/>
                                <w:left w:val="none" w:sz="0" w:space="0" w:color="auto"/>
                                <w:bottom w:val="none" w:sz="0" w:space="0" w:color="auto"/>
                                <w:right w:val="none" w:sz="0" w:space="0" w:color="auto"/>
                              </w:divBdr>
                              <w:divsChild>
                                <w:div w:id="1435326828">
                                  <w:marLeft w:val="0"/>
                                  <w:marRight w:val="0"/>
                                  <w:marTop w:val="0"/>
                                  <w:marBottom w:val="0"/>
                                  <w:divBdr>
                                    <w:top w:val="none" w:sz="0" w:space="0" w:color="auto"/>
                                    <w:left w:val="none" w:sz="0" w:space="0" w:color="auto"/>
                                    <w:bottom w:val="none" w:sz="0" w:space="0" w:color="auto"/>
                                    <w:right w:val="none" w:sz="0" w:space="0" w:color="auto"/>
                                  </w:divBdr>
                                  <w:divsChild>
                                    <w:div w:id="1018509902">
                                      <w:marLeft w:val="0"/>
                                      <w:marRight w:val="0"/>
                                      <w:marTop w:val="0"/>
                                      <w:marBottom w:val="0"/>
                                      <w:divBdr>
                                        <w:top w:val="none" w:sz="0" w:space="0" w:color="auto"/>
                                        <w:left w:val="none" w:sz="0" w:space="0" w:color="auto"/>
                                        <w:bottom w:val="none" w:sz="0" w:space="0" w:color="auto"/>
                                        <w:right w:val="none" w:sz="0" w:space="0" w:color="auto"/>
                                      </w:divBdr>
                                      <w:divsChild>
                                        <w:div w:id="1570841077">
                                          <w:marLeft w:val="0"/>
                                          <w:marRight w:val="0"/>
                                          <w:marTop w:val="0"/>
                                          <w:marBottom w:val="0"/>
                                          <w:divBdr>
                                            <w:top w:val="none" w:sz="0" w:space="0" w:color="auto"/>
                                            <w:left w:val="none" w:sz="0" w:space="0" w:color="auto"/>
                                            <w:bottom w:val="none" w:sz="0" w:space="0" w:color="auto"/>
                                            <w:right w:val="none" w:sz="0" w:space="0" w:color="auto"/>
                                          </w:divBdr>
                                          <w:divsChild>
                                            <w:div w:id="1492136622">
                                              <w:marLeft w:val="0"/>
                                              <w:marRight w:val="0"/>
                                              <w:marTop w:val="0"/>
                                              <w:marBottom w:val="0"/>
                                              <w:divBdr>
                                                <w:top w:val="none" w:sz="0" w:space="0" w:color="auto"/>
                                                <w:left w:val="none" w:sz="0" w:space="0" w:color="auto"/>
                                                <w:bottom w:val="none" w:sz="0" w:space="0" w:color="auto"/>
                                                <w:right w:val="none" w:sz="0" w:space="0" w:color="auto"/>
                                              </w:divBdr>
                                              <w:divsChild>
                                                <w:div w:id="599338053">
                                                  <w:marLeft w:val="0"/>
                                                  <w:marRight w:val="0"/>
                                                  <w:marTop w:val="0"/>
                                                  <w:marBottom w:val="0"/>
                                                  <w:divBdr>
                                                    <w:top w:val="none" w:sz="0" w:space="0" w:color="auto"/>
                                                    <w:left w:val="none" w:sz="0" w:space="0" w:color="auto"/>
                                                    <w:bottom w:val="none" w:sz="0" w:space="0" w:color="auto"/>
                                                    <w:right w:val="none" w:sz="0" w:space="0" w:color="auto"/>
                                                  </w:divBdr>
                                                  <w:divsChild>
                                                    <w:div w:id="593441997">
                                                      <w:marLeft w:val="0"/>
                                                      <w:marRight w:val="0"/>
                                                      <w:marTop w:val="0"/>
                                                      <w:marBottom w:val="0"/>
                                                      <w:divBdr>
                                                        <w:top w:val="none" w:sz="0" w:space="0" w:color="auto"/>
                                                        <w:left w:val="none" w:sz="0" w:space="0" w:color="auto"/>
                                                        <w:bottom w:val="none" w:sz="0" w:space="0" w:color="auto"/>
                                                        <w:right w:val="none" w:sz="0" w:space="0" w:color="auto"/>
                                                      </w:divBdr>
                                                      <w:divsChild>
                                                        <w:div w:id="1461533948">
                                                          <w:marLeft w:val="0"/>
                                                          <w:marRight w:val="0"/>
                                                          <w:marTop w:val="0"/>
                                                          <w:marBottom w:val="0"/>
                                                          <w:divBdr>
                                                            <w:top w:val="none" w:sz="0" w:space="0" w:color="auto"/>
                                                            <w:left w:val="none" w:sz="0" w:space="0" w:color="auto"/>
                                                            <w:bottom w:val="none" w:sz="0" w:space="0" w:color="auto"/>
                                                            <w:right w:val="none" w:sz="0" w:space="0" w:color="auto"/>
                                                          </w:divBdr>
                                                          <w:divsChild>
                                                            <w:div w:id="1010303015">
                                                              <w:marLeft w:val="0"/>
                                                              <w:marRight w:val="0"/>
                                                              <w:marTop w:val="0"/>
                                                              <w:marBottom w:val="0"/>
                                                              <w:divBdr>
                                                                <w:top w:val="none" w:sz="0" w:space="0" w:color="auto"/>
                                                                <w:left w:val="none" w:sz="0" w:space="0" w:color="auto"/>
                                                                <w:bottom w:val="none" w:sz="0" w:space="0" w:color="auto"/>
                                                                <w:right w:val="none" w:sz="0" w:space="0" w:color="auto"/>
                                                              </w:divBdr>
                                                              <w:divsChild>
                                                                <w:div w:id="1873958202">
                                                                  <w:marLeft w:val="0"/>
                                                                  <w:marRight w:val="0"/>
                                                                  <w:marTop w:val="0"/>
                                                                  <w:marBottom w:val="0"/>
                                                                  <w:divBdr>
                                                                    <w:top w:val="none" w:sz="0" w:space="0" w:color="auto"/>
                                                                    <w:left w:val="none" w:sz="0" w:space="0" w:color="auto"/>
                                                                    <w:bottom w:val="none" w:sz="0" w:space="0" w:color="auto"/>
                                                                    <w:right w:val="none" w:sz="0" w:space="0" w:color="auto"/>
                                                                  </w:divBdr>
                                                                  <w:divsChild>
                                                                    <w:div w:id="1945771493">
                                                                      <w:marLeft w:val="0"/>
                                                                      <w:marRight w:val="0"/>
                                                                      <w:marTop w:val="0"/>
                                                                      <w:marBottom w:val="0"/>
                                                                      <w:divBdr>
                                                                        <w:top w:val="none" w:sz="0" w:space="0" w:color="auto"/>
                                                                        <w:left w:val="none" w:sz="0" w:space="0" w:color="auto"/>
                                                                        <w:bottom w:val="none" w:sz="0" w:space="0" w:color="auto"/>
                                                                        <w:right w:val="none" w:sz="0" w:space="0" w:color="auto"/>
                                                                      </w:divBdr>
                                                                      <w:divsChild>
                                                                        <w:div w:id="1338850628">
                                                                          <w:marLeft w:val="0"/>
                                                                          <w:marRight w:val="0"/>
                                                                          <w:marTop w:val="0"/>
                                                                          <w:marBottom w:val="0"/>
                                                                          <w:divBdr>
                                                                            <w:top w:val="none" w:sz="0" w:space="0" w:color="auto"/>
                                                                            <w:left w:val="none" w:sz="0" w:space="0" w:color="auto"/>
                                                                            <w:bottom w:val="none" w:sz="0" w:space="0" w:color="auto"/>
                                                                            <w:right w:val="none" w:sz="0" w:space="0" w:color="auto"/>
                                                                          </w:divBdr>
                                                                          <w:divsChild>
                                                                            <w:div w:id="13796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1C66F-1C8F-4880-97B2-7E6FA8A4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13</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王朋</dc:creator>
  <cp:lastModifiedBy>王志永</cp:lastModifiedBy>
  <cp:revision>18</cp:revision>
  <cp:lastPrinted>2011-03-31T08:09:00Z</cp:lastPrinted>
  <dcterms:created xsi:type="dcterms:W3CDTF">2014-09-22T04:33:00Z</dcterms:created>
  <dcterms:modified xsi:type="dcterms:W3CDTF">2014-12-19T01:54:00Z</dcterms:modified>
</cp:coreProperties>
</file>