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  <w:rPr>
          <w:rFonts w:cs="Times New Roman"/>
        </w:rPr>
      </w:pPr>
    </w:p>
    <w:tbl>
      <w:tblPr>
        <w:tblW w:w="915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1400"/>
        <w:gridCol w:w="3207"/>
        <w:gridCol w:w="2222"/>
        <w:gridCol w:w="16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99" w:hRule="atLeast"/>
          <w:tblHeader/>
          <w:jc w:val="center"/>
        </w:trPr>
        <w:tc>
          <w:tcPr>
            <w:tcW w:w="9151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北京中国政法大学教育基金会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2013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年支出明细（万元）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6" w:hRule="atLeast"/>
          <w:tblHeader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序号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支出日期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捐赠方信息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支出部门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F7F7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支出金额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2013/11/21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87</w:t>
            </w:r>
            <w:r>
              <w:rPr>
                <w:rFonts w:hint="eastAsia" w:ascii="华文宋体" w:hAnsi="华文宋体" w:eastAsia="华文宋体" w:cs="华文宋体"/>
                <w:kern w:val="0"/>
              </w:rPr>
              <w:t>级校友奖学金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2013/3/22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北汽福田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【人权研究院】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2013/9/13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王家沟煤矿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【比较法学院】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2013/11/11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蔡定剑亲友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【蔡定剑宪法学教育基金】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2013/4/1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上海东方国信实业有限公司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2013/6/19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香港捐款（姚生辉）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2013/7/5</w:t>
            </w:r>
          </w:p>
        </w:tc>
        <w:tc>
          <w:tcPr>
            <w:tcW w:w="3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孙平</w:t>
            </w:r>
          </w:p>
        </w:tc>
        <w:tc>
          <w:tcPr>
            <w:tcW w:w="22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【研究生院】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2013/10/17</w:t>
            </w: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2013/1/19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北京市中瑞律师事务所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2013/1/19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王强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2013/1/19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唐山市路南法院马明旭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2013/1/19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北京雅地阳光科技发展有限公司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2013/11/21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中唐国际旅行社有限责任公司（</w:t>
            </w:r>
            <w:r>
              <w:rPr>
                <w:rFonts w:ascii="华文宋体" w:hAnsi="华文宋体" w:eastAsia="华文宋体" w:cs="华文宋体"/>
                <w:kern w:val="0"/>
              </w:rPr>
              <w:t>88</w:t>
            </w:r>
            <w:r>
              <w:rPr>
                <w:rFonts w:hint="eastAsia" w:ascii="华文宋体" w:hAnsi="华文宋体" w:eastAsia="华文宋体" w:cs="华文宋体"/>
                <w:kern w:val="0"/>
              </w:rPr>
              <w:t>级校友）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2013/4/7</w:t>
            </w:r>
          </w:p>
        </w:tc>
        <w:tc>
          <w:tcPr>
            <w:tcW w:w="3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山西吕梁泰化集团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【研究生院】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2013/9/13</w:t>
            </w: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【老干部处】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2013/2/28</w:t>
            </w:r>
          </w:p>
        </w:tc>
        <w:tc>
          <w:tcPr>
            <w:tcW w:w="3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沙驰私人有限公司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【政管院】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2013/4/7</w:t>
            </w: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【团委】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2013/11/6</w:t>
            </w: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【团委】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2013/3/22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台湾鍏盛有限公司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【全球化研究所】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21.704753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2013/1/15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燕发旺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【组织部】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2013/1/11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上海东方国信实业有限公司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【法学院】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2013/2/28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浙江玉海律师事务所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【基建处】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2013/2/28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北京浩天嘉源文化发展中心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【基建处】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2013/2/28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杭州博勤教育咨询有限公司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【基建处】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2013/3/22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盈科律师事务所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【外国语学院】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2013/5/30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北京中青英华教育科技有限公司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【法学院】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2013/9/6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魏凌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【环境法研究所】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2013/4/7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年利达律师事务所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2013/4/24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北京市企业家环保基金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【环境法研究所】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　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黄乾亨奖学金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10.014452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　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黄乾亨（港币转人民币）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【筹资费】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0.633889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　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黄乾亨（港币转人民币）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0.010659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2013/4/10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I care charity foundation limited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【环境法研究所】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2013/4/8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李成宽（河南校友会）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2013/7/12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国际儒学联合会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【国际儒学院】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85.272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36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2013/12/5</w:t>
            </w:r>
          </w:p>
        </w:tc>
        <w:tc>
          <w:tcPr>
            <w:tcW w:w="3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燕发旺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【教务处】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37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【教务处】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38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2013/7/11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陈锦良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【法治政府研究院】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2013/10/25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陈锦良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【政管院】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2013/6/26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北京中控易投国际信息技术研究院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【马克思学院】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2013/6/6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龙创信华恒科技有限公司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【老干部处】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2013/7/5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未来集团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【马克思学院】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2013/11/6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河南安智勇实业发展有限公司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【外国语学院】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2013/9/13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曹鎏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【法治政府研究院】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2013/7/12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上海复星公益基金会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【教务处】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2013/9/13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内蒙古中远亨峰集团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【研究生院】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2013/7/5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煜丰格林文化创意有限公司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2013/9/4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乔丽英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【体育部】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2013/9/11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中伦律师事务所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2013/9/6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魏凌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2013/9/4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呼海泊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【体育部】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2013/12/19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广州宝威投资集团有限公司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【法学院】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2013/12/25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北京乾木文辰律师事务所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【法学院】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2013/11/21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马江涛校友北京乐山信息技术有限公司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　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上海东方国信实业有限公司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2013/12/2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炜衡律师事务所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2013/11/25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北京智富博森商务服务有限公司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【外国语学院】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2013/12/11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泰致德专业技术服务有限公司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2013/12/23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曾宪梓英才奖学金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【学生处】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2013/12/23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殷杰（</w:t>
            </w:r>
            <w:r>
              <w:rPr>
                <w:rFonts w:ascii="华文宋体" w:hAnsi="华文宋体" w:eastAsia="华文宋体" w:cs="华文宋体"/>
                <w:kern w:val="0"/>
              </w:rPr>
              <w:t>86</w:t>
            </w:r>
            <w:r>
              <w:rPr>
                <w:rFonts w:hint="eastAsia" w:ascii="华文宋体" w:hAnsi="华文宋体" w:eastAsia="华文宋体" w:cs="华文宋体"/>
                <w:kern w:val="0"/>
              </w:rPr>
              <w:t>级校友）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61</w:t>
            </w:r>
          </w:p>
        </w:tc>
        <w:tc>
          <w:tcPr>
            <w:tcW w:w="14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　</w:t>
            </w:r>
          </w:p>
        </w:tc>
        <w:tc>
          <w:tcPr>
            <w:tcW w:w="320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非指定支出</w:t>
            </w: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【校友办】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244.401572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62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【发展规划处】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63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0.04905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64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【发展规划处】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179.85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65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66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67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68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【人文学院】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69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【科技部】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70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71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72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73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【发展规划处】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74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75</w:t>
            </w:r>
          </w:p>
        </w:tc>
        <w:tc>
          <w:tcPr>
            <w:tcW w:w="14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【管理费】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0.003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非限定性资金总额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606.486622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限定性资金总额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1316.322353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3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hint="eastAsia" w:ascii="华文宋体" w:hAnsi="华文宋体" w:eastAsia="华文宋体" w:cs="华文宋体"/>
                <w:kern w:val="0"/>
              </w:rPr>
              <w:t>支出总额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</w:rPr>
            </w:pPr>
            <w:r>
              <w:rPr>
                <w:rFonts w:ascii="华文宋体" w:hAnsi="华文宋体" w:eastAsia="华文宋体" w:cs="华文宋体"/>
                <w:kern w:val="0"/>
              </w:rPr>
              <w:t>1922.808975</w:t>
            </w:r>
          </w:p>
        </w:tc>
      </w:tr>
    </w:tbl>
    <w:p>
      <w:pPr>
        <w:rPr>
          <w:rFonts w:cs="Times New Roman"/>
        </w:rPr>
      </w:pPr>
    </w:p>
    <w:p>
      <w:pPr>
        <w:widowControl/>
        <w:jc w:val="lef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br w:type="page"/>
      </w:r>
    </w:p>
    <w:p>
      <w:pPr>
        <w:widowControl/>
        <w:jc w:val="left"/>
        <w:rPr>
          <w:rFonts w:cs="Times New Roman"/>
        </w:rPr>
      </w:pPr>
    </w:p>
    <w:tbl>
      <w:tblPr>
        <w:tblW w:w="92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657"/>
        <w:gridCol w:w="1159"/>
        <w:gridCol w:w="3254"/>
        <w:gridCol w:w="823"/>
        <w:gridCol w:w="3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0" w:hRule="atLeast"/>
          <w:jc w:val="center"/>
        </w:trPr>
        <w:tc>
          <w:tcPr>
            <w:tcW w:w="9269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北京中国政法大学教育基金会</w:t>
            </w:r>
            <w:r>
              <w:rPr>
                <w:rFonts w:ascii="黑体" w:hAnsi="黑体" w:eastAsia="黑体" w:cs="黑体"/>
                <w:kern w:val="0"/>
                <w:sz w:val="32"/>
                <w:szCs w:val="32"/>
              </w:rPr>
              <w:t>2014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年支出明细（万元）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00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2"/>
                <w:szCs w:val="22"/>
              </w:rPr>
              <w:t>支出日期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2"/>
                <w:szCs w:val="22"/>
              </w:rPr>
              <w:t>捐赠者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2"/>
                <w:szCs w:val="22"/>
              </w:rPr>
              <w:t>金额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C0C0C0" w:fill="99CCFF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2"/>
                <w:szCs w:val="22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2"/>
                <w:szCs w:val="22"/>
              </w:rPr>
              <w:t>支出部门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2014/1/5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沙驰国际私人有限公司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学生处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2014/3/26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北京中青英华教育科技有限公司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2014/1/15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燕发旺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人事处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2014/3/6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陈锦良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33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法治政府研究院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2014/4/7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陈锦良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30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政治与公共管理学院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2014/6/5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未来集团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2014/1/5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毕盛斌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国际法学院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2014/1/5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毕盛斌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新闻与传播学院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2014/1/15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未来集团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政治与公共管理学院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2014/2/20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北京市企业家环保基金会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18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民商经济法学院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2014/6/11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立国集团有限公司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校友办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2014/2/26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北京京西绮美服装中心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40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2014/4/14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年利达律师事务所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学生处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2014/2/20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海南恩祥房地产开发有限公司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校团委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2014/1/16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黄乾亨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10.9394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学生处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2014/5/23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未来集团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马克思学院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2014/4/14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河南校友会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1.2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学生处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2014/4/24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广东宝威投资集团有限公司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法学院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2014/4/23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中华慈善总会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150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中国政法大学网络教育学院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2014/5/23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徐州跳跳龙食品有限公司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12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2014/7/2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重庆市华岩文教基金会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人文学院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2014/7/4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陈乐田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研究生院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2014/7/4</w:t>
            </w:r>
          </w:p>
        </w:tc>
        <w:tc>
          <w:tcPr>
            <w:tcW w:w="3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煜丰格林文化创意有限公司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15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校友办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2014/1/5</w:t>
            </w:r>
          </w:p>
        </w:tc>
        <w:tc>
          <w:tcPr>
            <w:tcW w:w="32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非指定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管理费（银行维护</w:t>
            </w: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2013/12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2014/1/5</w:t>
            </w:r>
          </w:p>
        </w:tc>
        <w:tc>
          <w:tcPr>
            <w:tcW w:w="3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0.03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电子回单箱服务费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2014/2/5</w:t>
            </w:r>
          </w:p>
        </w:tc>
        <w:tc>
          <w:tcPr>
            <w:tcW w:w="3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管理费（银行维护</w:t>
            </w: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2014/1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2014/2/24</w:t>
            </w:r>
          </w:p>
        </w:tc>
        <w:tc>
          <w:tcPr>
            <w:tcW w:w="3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14.24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筹资费用</w:t>
            </w: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刘皇发结汇损益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2014/2/24</w:t>
            </w:r>
          </w:p>
        </w:tc>
        <w:tc>
          <w:tcPr>
            <w:tcW w:w="3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0.101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管理费</w:t>
            </w: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-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刘皇发手续费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2014/3/5</w:t>
            </w:r>
          </w:p>
        </w:tc>
        <w:tc>
          <w:tcPr>
            <w:tcW w:w="3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管理费（银行维护</w:t>
            </w: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2014/2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2014/4/5</w:t>
            </w:r>
          </w:p>
        </w:tc>
        <w:tc>
          <w:tcPr>
            <w:tcW w:w="3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管理费（银行维护</w:t>
            </w: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2014/3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2014/5/5</w:t>
            </w:r>
          </w:p>
        </w:tc>
        <w:tc>
          <w:tcPr>
            <w:tcW w:w="3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管理费（银行维护</w:t>
            </w: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2014/4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2014/6/5</w:t>
            </w:r>
          </w:p>
        </w:tc>
        <w:tc>
          <w:tcPr>
            <w:tcW w:w="32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0.003</w:t>
            </w:r>
          </w:p>
        </w:tc>
        <w:tc>
          <w:tcPr>
            <w:tcW w:w="3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管理费（银行维护</w:t>
            </w: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2014/5</w:t>
            </w: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非限定性资金总额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532.139396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限定性资金总额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14.389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3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宋体" w:hAnsi="华文宋体" w:eastAsia="华文宋体" w:cs="华文宋体"/>
                <w:kern w:val="0"/>
                <w:sz w:val="20"/>
                <w:szCs w:val="20"/>
              </w:rPr>
              <w:t>支出总额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</w:p>
        </w:tc>
        <w:tc>
          <w:tcPr>
            <w:tcW w:w="3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 w:cs="Times New Roman"/>
                <w:kern w:val="0"/>
                <w:sz w:val="20"/>
                <w:szCs w:val="20"/>
              </w:rPr>
            </w:pPr>
            <w:r>
              <w:rPr>
                <w:rFonts w:ascii="华文宋体" w:hAnsi="华文宋体" w:eastAsia="华文宋体" w:cs="华文宋体"/>
                <w:kern w:val="0"/>
                <w:sz w:val="20"/>
                <w:szCs w:val="20"/>
              </w:rPr>
              <w:t>546.528396</w:t>
            </w:r>
          </w:p>
        </w:tc>
      </w:tr>
    </w:tbl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3"/>
    <w:semiHidden/>
    <w:locked/>
    <w:uiPriority w:val="99"/>
    <w:rPr>
      <w:sz w:val="18"/>
      <w:szCs w:val="18"/>
    </w:rPr>
  </w:style>
  <w:style w:type="character" w:customStyle="1" w:styleId="6">
    <w:name w:val="Footer Char"/>
    <w:basedOn w:val="4"/>
    <w:link w:val="2"/>
    <w:semiHidden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1077</Words>
  <Characters>6145</Characters>
  <Lines>0</Lines>
  <Paragraphs>0</Paragraphs>
  <TotalTime>0</TotalTime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2014-09-18T01:38:00Z</dcterms:created>
  <dc:creator>Adelheid</dc:creator>
  <cp:lastModifiedBy>王巍</cp:lastModifiedBy>
  <cp:lastPrinted>2014-09-18T07:19:00Z</cp:lastPrinted>
  <dcterms:modified xsi:type="dcterms:W3CDTF">2014-10-31T00:09:12Z</dcterms:modified>
  <dc:title>北京中国政法大学教育基金会2013年支出明细（万元）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