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B" w:rsidRPr="00111CFA" w:rsidRDefault="001F7D1B" w:rsidP="00230E00">
      <w:pPr>
        <w:rPr>
          <w:rFonts w:ascii="黑体" w:eastAsia="黑体" w:hAnsi="黑体" w:cs="Times New Roman"/>
          <w:sz w:val="30"/>
          <w:szCs w:val="30"/>
        </w:rPr>
      </w:pPr>
      <w:r w:rsidRPr="00111CFA">
        <w:rPr>
          <w:rFonts w:ascii="黑体" w:eastAsia="黑体" w:hAnsi="黑体" w:cs="黑体" w:hint="eastAsia"/>
          <w:sz w:val="30"/>
          <w:szCs w:val="30"/>
        </w:rPr>
        <w:t>附件</w:t>
      </w:r>
      <w:r w:rsidRPr="00111CFA">
        <w:rPr>
          <w:rFonts w:ascii="黑体" w:eastAsia="黑体" w:hAnsi="黑体" w:cs="黑体"/>
          <w:sz w:val="30"/>
          <w:szCs w:val="30"/>
        </w:rPr>
        <w:t>2</w:t>
      </w:r>
    </w:p>
    <w:p w:rsidR="001F7D1B" w:rsidRPr="005B3FC0" w:rsidRDefault="001F7D1B" w:rsidP="00CE34C8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1F7D1B" w:rsidRPr="009F28CB" w:rsidRDefault="001F7D1B" w:rsidP="00CE34C8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9F28CB">
        <w:rPr>
          <w:rFonts w:ascii="方正小标宋简体" w:eastAsia="方正小标宋简体" w:hAnsi="华文中宋" w:cs="方正小标宋简体" w:hint="eastAsia"/>
          <w:sz w:val="44"/>
          <w:szCs w:val="44"/>
        </w:rPr>
        <w:t>文字说明</w:t>
      </w:r>
    </w:p>
    <w:p w:rsidR="001F7D1B" w:rsidRPr="009F28CB" w:rsidRDefault="001F7D1B" w:rsidP="00CE34C8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1F7D1B" w:rsidRPr="009F28CB" w:rsidRDefault="001F7D1B" w:rsidP="00A259CB">
      <w:pPr>
        <w:rPr>
          <w:rFonts w:ascii="方正小标宋简体" w:eastAsia="方正小标宋简体" w:hAnsi="黑体" w:cs="Times New Roman"/>
          <w:sz w:val="44"/>
          <w:szCs w:val="44"/>
        </w:rPr>
      </w:pPr>
    </w:p>
    <w:p w:rsidR="001F7D1B" w:rsidRPr="009F28CB" w:rsidRDefault="001F7D1B" w:rsidP="00CE34C8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9F28CB">
        <w:rPr>
          <w:rFonts w:ascii="方正小标宋简体" w:eastAsia="方正小标宋简体" w:hAnsi="仿宋" w:cs="方正小标宋简体" w:hint="eastAsia"/>
          <w:sz w:val="44"/>
          <w:szCs w:val="44"/>
        </w:rPr>
        <w:t>中国政法大学</w:t>
      </w:r>
      <w:r w:rsidRPr="009F28CB">
        <w:rPr>
          <w:rFonts w:ascii="方正小标宋简体" w:eastAsia="方正小标宋简体" w:hAnsi="仿宋" w:cs="方正小标宋简体"/>
          <w:sz w:val="44"/>
          <w:szCs w:val="44"/>
        </w:rPr>
        <w:t>20</w:t>
      </w:r>
      <w:r>
        <w:rPr>
          <w:rFonts w:ascii="方正小标宋简体" w:eastAsia="方正小标宋简体" w:hAnsi="仿宋" w:cs="方正小标宋简体"/>
          <w:sz w:val="44"/>
          <w:szCs w:val="44"/>
        </w:rPr>
        <w:t>1</w:t>
      </w:r>
      <w:r w:rsidR="00122810">
        <w:rPr>
          <w:rFonts w:ascii="方正小标宋简体" w:eastAsia="方正小标宋简体" w:hAnsi="仿宋" w:cs="方正小标宋简体" w:hint="eastAsia"/>
          <w:sz w:val="44"/>
          <w:szCs w:val="44"/>
        </w:rPr>
        <w:t>8</w:t>
      </w:r>
      <w:r w:rsidRPr="009F28CB">
        <w:rPr>
          <w:rFonts w:ascii="方正小标宋简体" w:eastAsia="方正小标宋简体" w:hAnsi="仿宋" w:cs="方正小标宋简体" w:hint="eastAsia"/>
          <w:sz w:val="44"/>
          <w:szCs w:val="44"/>
        </w:rPr>
        <w:t>年度部门预算</w:t>
      </w: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Pr="007104A7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Default="001F7D1B" w:rsidP="00CE34C8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1F7D1B" w:rsidRPr="00A905BF" w:rsidRDefault="001F7D1B" w:rsidP="00CE34C8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201</w:t>
      </w:r>
      <w:r w:rsidR="002130C9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E6E85">
        <w:rPr>
          <w:rFonts w:ascii="仿宋" w:eastAsia="仿宋" w:hAnsi="仿宋" w:cs="仿宋" w:hint="eastAsia"/>
          <w:sz w:val="32"/>
          <w:szCs w:val="32"/>
        </w:rPr>
        <w:t>4</w:t>
      </w:r>
      <w:r w:rsidRPr="00A905BF">
        <w:rPr>
          <w:rFonts w:ascii="仿宋" w:eastAsia="仿宋" w:hAnsi="仿宋" w:cs="仿宋" w:hint="eastAsia"/>
          <w:sz w:val="32"/>
          <w:szCs w:val="32"/>
        </w:rPr>
        <w:t>月</w:t>
      </w:r>
    </w:p>
    <w:p w:rsidR="001F7D1B" w:rsidRDefault="001F7D1B" w:rsidP="00F24F61">
      <w:pPr>
        <w:rPr>
          <w:rFonts w:ascii="仿宋" w:eastAsia="仿宋" w:hAnsi="仿宋" w:cs="Times New Roman"/>
          <w:sz w:val="32"/>
          <w:szCs w:val="32"/>
        </w:rPr>
      </w:pPr>
    </w:p>
    <w:p w:rsidR="001F7D1B" w:rsidRPr="00A905BF" w:rsidRDefault="001F7D1B" w:rsidP="00F24F61">
      <w:pPr>
        <w:rPr>
          <w:rFonts w:ascii="仿宋" w:eastAsia="仿宋" w:hAnsi="仿宋" w:cs="Times New Roman"/>
          <w:sz w:val="32"/>
          <w:szCs w:val="32"/>
        </w:rPr>
      </w:pPr>
    </w:p>
    <w:p w:rsidR="001F7D1B" w:rsidRPr="009747B7" w:rsidRDefault="001F7D1B" w:rsidP="002A741B">
      <w:pPr>
        <w:jc w:val="center"/>
        <w:rPr>
          <w:rFonts w:ascii="黑体" w:eastAsia="黑体" w:hAnsi="黑体" w:cs="Times New Roman"/>
          <w:sz w:val="30"/>
          <w:szCs w:val="30"/>
        </w:rPr>
      </w:pPr>
      <w:r w:rsidRPr="009747B7">
        <w:rPr>
          <w:rFonts w:ascii="黑体" w:eastAsia="黑体" w:hAnsi="黑体" w:cs="黑体" w:hint="eastAsia"/>
          <w:sz w:val="30"/>
          <w:szCs w:val="30"/>
        </w:rPr>
        <w:lastRenderedPageBreak/>
        <w:t>目</w:t>
      </w:r>
      <w:r w:rsidRPr="009747B7">
        <w:rPr>
          <w:rFonts w:ascii="黑体" w:eastAsia="黑体" w:hAnsi="黑体" w:cs="黑体"/>
          <w:sz w:val="30"/>
          <w:szCs w:val="30"/>
        </w:rPr>
        <w:t xml:space="preserve"> </w:t>
      </w:r>
      <w:r w:rsidRPr="009747B7">
        <w:rPr>
          <w:rFonts w:ascii="黑体" w:eastAsia="黑体" w:hAnsi="黑体" w:cs="黑体" w:hint="eastAsia"/>
          <w:sz w:val="30"/>
          <w:szCs w:val="30"/>
        </w:rPr>
        <w:t>录</w:t>
      </w:r>
    </w:p>
    <w:p w:rsidR="001F7D1B" w:rsidRPr="005B3FC0" w:rsidRDefault="001F7D1B" w:rsidP="00581D44">
      <w:pPr>
        <w:outlineLvl w:val="0"/>
        <w:rPr>
          <w:rFonts w:ascii="黑体" w:eastAsia="黑体" w:hAnsi="黑体" w:cs="Times New Roman"/>
          <w:sz w:val="30"/>
          <w:szCs w:val="30"/>
        </w:rPr>
      </w:pPr>
    </w:p>
    <w:p w:rsidR="001F7D1B" w:rsidRPr="005B3FC0" w:rsidRDefault="001F7D1B" w:rsidP="005B3FC0">
      <w:pPr>
        <w:pStyle w:val="a3"/>
        <w:ind w:left="600" w:firstLineChars="0" w:firstLine="0"/>
        <w:jc w:val="left"/>
        <w:outlineLvl w:val="0"/>
        <w:rPr>
          <w:rFonts w:ascii="黑体" w:eastAsia="黑体" w:hAnsi="黑体" w:cs="黑体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一、部门职能</w:t>
      </w:r>
      <w:r w:rsidRPr="005B3FC0">
        <w:rPr>
          <w:rFonts w:ascii="黑体" w:eastAsia="黑体" w:hAnsi="黑体" w:cs="黑体"/>
          <w:sz w:val="30"/>
          <w:szCs w:val="30"/>
        </w:rPr>
        <w:t xml:space="preserve"> </w:t>
      </w:r>
    </w:p>
    <w:p w:rsidR="001F7D1B" w:rsidRPr="005B3FC0" w:rsidRDefault="001F7D1B" w:rsidP="0099669C">
      <w:pPr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二、部门预算单位构成</w:t>
      </w:r>
      <w:r w:rsidRPr="005B3FC0">
        <w:rPr>
          <w:rFonts w:ascii="黑体" w:eastAsia="黑体" w:hAnsi="黑体" w:cs="黑体"/>
          <w:sz w:val="30"/>
          <w:szCs w:val="30"/>
        </w:rPr>
        <w:t xml:space="preserve"> </w:t>
      </w:r>
    </w:p>
    <w:p w:rsidR="001F7D1B" w:rsidRPr="005B3FC0" w:rsidRDefault="001F7D1B" w:rsidP="00581D44">
      <w:pPr>
        <w:ind w:left="600"/>
        <w:jc w:val="left"/>
        <w:outlineLvl w:val="0"/>
        <w:rPr>
          <w:rFonts w:ascii="黑体" w:eastAsia="黑体" w:hAnsi="黑体" w:cs="Times New Roman"/>
          <w:sz w:val="30"/>
          <w:szCs w:val="30"/>
        </w:rPr>
      </w:pPr>
      <w:r w:rsidRPr="005B3FC0">
        <w:rPr>
          <w:rFonts w:ascii="黑体" w:eastAsia="黑体" w:hAnsi="黑体" w:cs="黑体" w:hint="eastAsia"/>
          <w:sz w:val="30"/>
          <w:szCs w:val="30"/>
        </w:rPr>
        <w:t>三、部门预算报表及情况说明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（一）收入支出预算总表及情况说明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（二）收入预算表及情况说明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（三）支出预算表及情况说明</w:t>
      </w:r>
    </w:p>
    <w:p w:rsidR="001F7D1B" w:rsidRPr="005B3FC0" w:rsidRDefault="001F7D1B" w:rsidP="0025331F">
      <w:pPr>
        <w:ind w:left="600"/>
        <w:outlineLvl w:val="0"/>
        <w:rPr>
          <w:rFonts w:ascii="仿宋" w:eastAsia="仿宋" w:hAnsi="仿宋" w:cs="Times New Roman"/>
          <w:sz w:val="30"/>
          <w:szCs w:val="30"/>
        </w:rPr>
      </w:pPr>
      <w:r w:rsidRPr="005B3FC0">
        <w:rPr>
          <w:rFonts w:ascii="仿宋" w:eastAsia="仿宋" w:hAnsi="仿宋" w:cs="仿宋" w:hint="eastAsia"/>
          <w:sz w:val="30"/>
          <w:szCs w:val="30"/>
        </w:rPr>
        <w:t>（四）</w:t>
      </w:r>
      <w:r>
        <w:rPr>
          <w:rFonts w:ascii="仿宋" w:eastAsia="仿宋" w:hAnsi="仿宋" w:cs="仿宋" w:hint="eastAsia"/>
          <w:sz w:val="30"/>
          <w:szCs w:val="30"/>
        </w:rPr>
        <w:t>一般公共预算</w:t>
      </w:r>
      <w:r w:rsidRPr="005B3FC0">
        <w:rPr>
          <w:rFonts w:ascii="仿宋" w:eastAsia="仿宋" w:hAnsi="仿宋" w:cs="仿宋" w:hint="eastAsia"/>
          <w:sz w:val="30"/>
          <w:szCs w:val="30"/>
        </w:rPr>
        <w:t>支出表及情况说明</w:t>
      </w:r>
    </w:p>
    <w:p w:rsidR="001F7D1B" w:rsidRPr="005B3FC0" w:rsidRDefault="001F7D1B" w:rsidP="0099669C">
      <w:pPr>
        <w:ind w:firstLineChars="200" w:firstLine="600"/>
        <w:jc w:val="left"/>
        <w:outlineLvl w:val="0"/>
        <w:rPr>
          <w:rFonts w:ascii="黑体" w:eastAsia="黑体" w:hAnsi="黑体" w:cs="Times New Roman"/>
          <w:sz w:val="30"/>
          <w:szCs w:val="30"/>
        </w:rPr>
        <w:sectPr w:rsidR="001F7D1B" w:rsidRPr="005B3FC0" w:rsidSect="0009143A"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 w:start="1"/>
          <w:cols w:space="425"/>
          <w:docGrid w:type="linesAndChars" w:linePitch="312"/>
        </w:sectPr>
      </w:pPr>
      <w:r w:rsidRPr="005B3FC0">
        <w:rPr>
          <w:rFonts w:ascii="黑体" w:eastAsia="黑体" w:hAnsi="黑体" w:cs="黑体" w:hint="eastAsia"/>
          <w:sz w:val="30"/>
          <w:szCs w:val="30"/>
        </w:rPr>
        <w:t>四、名词解释</w:t>
      </w:r>
    </w:p>
    <w:p w:rsidR="001F7D1B" w:rsidRPr="00320877" w:rsidRDefault="001F7D1B" w:rsidP="005B3FC0">
      <w:pPr>
        <w:pStyle w:val="a3"/>
        <w:spacing w:line="560" w:lineRule="exact"/>
        <w:ind w:left="596" w:firstLineChars="0" w:firstLine="0"/>
        <w:outlineLvl w:val="0"/>
        <w:rPr>
          <w:rFonts w:ascii="Times New Roman" w:eastAsia="黑体" w:hAnsi="黑体" w:cs="Times New Roman"/>
          <w:sz w:val="30"/>
          <w:szCs w:val="30"/>
        </w:rPr>
      </w:pPr>
      <w:r w:rsidRPr="00320877">
        <w:rPr>
          <w:rFonts w:ascii="Times New Roman" w:eastAsia="黑体" w:hAnsi="黑体" w:cs="黑体" w:hint="eastAsia"/>
          <w:sz w:val="30"/>
          <w:szCs w:val="30"/>
        </w:rPr>
        <w:lastRenderedPageBreak/>
        <w:t>一、部门职能</w:t>
      </w:r>
      <w:r w:rsidRPr="00320877">
        <w:rPr>
          <w:rFonts w:ascii="Times New Roman" w:eastAsia="黑体" w:hAnsi="黑体" w:cs="Times New Roman"/>
          <w:sz w:val="30"/>
          <w:szCs w:val="30"/>
        </w:rPr>
        <w:t xml:space="preserve"> </w:t>
      </w:r>
    </w:p>
    <w:p w:rsidR="001F7D1B" w:rsidRPr="00320877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320877">
        <w:rPr>
          <w:rFonts w:ascii="Times New Roman" w:eastAsia="仿宋" w:hAnsi="仿宋" w:cs="仿宋" w:hint="eastAsia"/>
          <w:sz w:val="30"/>
          <w:szCs w:val="30"/>
        </w:rPr>
        <w:t>（一）培养高等学历政法人才，促进政法建设；</w:t>
      </w:r>
    </w:p>
    <w:p w:rsidR="001F7D1B" w:rsidRPr="00320877" w:rsidRDefault="001F7D1B" w:rsidP="00320877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320877">
        <w:rPr>
          <w:rFonts w:ascii="Times New Roman" w:eastAsia="仿宋" w:hAnsi="仿宋" w:cs="仿宋" w:hint="eastAsia"/>
          <w:sz w:val="30"/>
          <w:szCs w:val="30"/>
        </w:rPr>
        <w:t>（二）</w:t>
      </w:r>
      <w:r w:rsidR="00320877" w:rsidRPr="00320877">
        <w:rPr>
          <w:rFonts w:ascii="Times New Roman" w:eastAsia="仿宋" w:hAnsi="仿宋" w:cs="仿宋" w:hint="eastAsia"/>
          <w:sz w:val="30"/>
          <w:szCs w:val="30"/>
        </w:rPr>
        <w:t>法学类、文学类、历史学类、哲学类、经济学类、管理学类、教育学类、理学类、工学类</w:t>
      </w:r>
      <w:r w:rsidRPr="00320877">
        <w:rPr>
          <w:rFonts w:ascii="Times New Roman" w:eastAsia="仿宋" w:hAnsi="仿宋" w:cs="仿宋" w:hint="eastAsia"/>
          <w:sz w:val="30"/>
          <w:szCs w:val="30"/>
        </w:rPr>
        <w:t>学科本科学历教育；</w:t>
      </w:r>
    </w:p>
    <w:p w:rsidR="001F7D1B" w:rsidRPr="00320877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320877">
        <w:rPr>
          <w:rFonts w:ascii="Times New Roman" w:eastAsia="仿宋" w:hAnsi="仿宋" w:cs="仿宋" w:hint="eastAsia"/>
          <w:sz w:val="30"/>
          <w:szCs w:val="30"/>
        </w:rPr>
        <w:t>（三）哲学类、法学类、经济学类、管理学类、文学类、教育学类、史学类学科硕士研究生学历教育；</w:t>
      </w:r>
    </w:p>
    <w:p w:rsidR="001F7D1B" w:rsidRPr="00320877" w:rsidRDefault="001F7D1B" w:rsidP="00CA4562">
      <w:pPr>
        <w:spacing w:line="560" w:lineRule="exact"/>
        <w:ind w:left="525"/>
        <w:rPr>
          <w:rFonts w:ascii="Times New Roman" w:eastAsia="仿宋" w:hAnsi="仿宋" w:cs="Times New Roman"/>
          <w:sz w:val="30"/>
          <w:szCs w:val="30"/>
        </w:rPr>
      </w:pPr>
      <w:r w:rsidRPr="00320877">
        <w:rPr>
          <w:rFonts w:ascii="Times New Roman" w:eastAsia="仿宋" w:hAnsi="仿宋" w:cs="仿宋" w:hint="eastAsia"/>
          <w:sz w:val="30"/>
          <w:szCs w:val="30"/>
        </w:rPr>
        <w:t>（四）法学类、经济学类学科博士研究生学历教育；</w:t>
      </w:r>
    </w:p>
    <w:p w:rsidR="001F7D1B" w:rsidRPr="005B3FC0" w:rsidRDefault="001F7D1B" w:rsidP="00CA4562">
      <w:pPr>
        <w:spacing w:line="560" w:lineRule="exact"/>
        <w:ind w:left="525"/>
        <w:rPr>
          <w:rFonts w:ascii="Times New Roman" w:eastAsia="仿宋" w:hAnsi="仿宋" w:cs="Times New Roman"/>
          <w:sz w:val="30"/>
          <w:szCs w:val="30"/>
        </w:rPr>
      </w:pPr>
      <w:r w:rsidRPr="00320877">
        <w:rPr>
          <w:rFonts w:ascii="Times New Roman" w:eastAsia="仿宋" w:hAnsi="仿宋" w:cs="仿宋" w:hint="eastAsia"/>
          <w:sz w:val="30"/>
          <w:szCs w:val="30"/>
        </w:rPr>
        <w:t>（五）相关科学研究、继续教育、专业培训与学术交流等。</w:t>
      </w:r>
    </w:p>
    <w:p w:rsidR="00A07496" w:rsidRDefault="00A07496" w:rsidP="005B3FC0">
      <w:pPr>
        <w:pStyle w:val="a3"/>
        <w:spacing w:line="560" w:lineRule="exact"/>
        <w:ind w:left="600" w:firstLineChars="0" w:firstLine="0"/>
        <w:rPr>
          <w:rFonts w:ascii="Times New Roman" w:eastAsia="黑体" w:hAnsi="黑体" w:cs="黑体"/>
          <w:sz w:val="30"/>
          <w:szCs w:val="30"/>
        </w:rPr>
      </w:pPr>
    </w:p>
    <w:p w:rsidR="001F7D1B" w:rsidRPr="005B3FC0" w:rsidRDefault="001F7D1B" w:rsidP="005B3FC0">
      <w:pPr>
        <w:pStyle w:val="a3"/>
        <w:spacing w:line="560" w:lineRule="exact"/>
        <w:ind w:left="600" w:firstLineChars="0" w:firstLine="0"/>
        <w:rPr>
          <w:rFonts w:ascii="Times New Roman" w:eastAsia="黑体" w:hAnsi="黑体" w:cs="Times New Roman"/>
          <w:sz w:val="30"/>
          <w:szCs w:val="30"/>
        </w:rPr>
      </w:pPr>
      <w:r w:rsidRPr="005B3FC0">
        <w:rPr>
          <w:rFonts w:ascii="Times New Roman" w:eastAsia="黑体" w:hAnsi="黑体" w:cs="黑体" w:hint="eastAsia"/>
          <w:sz w:val="30"/>
          <w:szCs w:val="30"/>
        </w:rPr>
        <w:t>二、部门预算单位构成</w:t>
      </w:r>
      <w:r w:rsidRPr="005B3FC0">
        <w:rPr>
          <w:rFonts w:ascii="Times New Roman" w:eastAsia="黑体" w:hAnsi="黑体" w:cs="Times New Roman"/>
          <w:sz w:val="30"/>
          <w:szCs w:val="30"/>
        </w:rPr>
        <w:t xml:space="preserve"> </w:t>
      </w:r>
    </w:p>
    <w:p w:rsidR="001F7D1B" w:rsidRPr="005B3FC0" w:rsidRDefault="001F7D1B" w:rsidP="00CA4562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 w:rsidRPr="005B3FC0">
        <w:rPr>
          <w:rFonts w:ascii="Times New Roman" w:eastAsia="仿宋" w:hAnsi="仿宋" w:cs="Times New Roman"/>
          <w:sz w:val="30"/>
          <w:szCs w:val="30"/>
        </w:rPr>
        <w:t xml:space="preserve">    </w:t>
      </w:r>
      <w:r w:rsidRPr="005B3FC0">
        <w:rPr>
          <w:rFonts w:ascii="Times New Roman" w:eastAsia="仿宋" w:hAnsi="仿宋" w:cs="仿宋" w:hint="eastAsia"/>
          <w:sz w:val="30"/>
          <w:szCs w:val="30"/>
        </w:rPr>
        <w:t>我校部门预算反映学校本级（不包括独立核算的学校饮食中心、出版社）的经费收支情况。我校部门预算编制单位范围仅是中国政法大学本级，无其他附属单位。</w:t>
      </w:r>
    </w:p>
    <w:p w:rsidR="00A07496" w:rsidRDefault="00A07496" w:rsidP="0099669C">
      <w:pPr>
        <w:spacing w:line="560" w:lineRule="exact"/>
        <w:ind w:firstLineChars="200" w:firstLine="600"/>
        <w:rPr>
          <w:rFonts w:ascii="Times New Roman" w:eastAsia="黑体" w:hAnsi="黑体" w:cs="黑体"/>
          <w:sz w:val="30"/>
          <w:szCs w:val="30"/>
        </w:rPr>
      </w:pP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5B3FC0">
        <w:rPr>
          <w:rFonts w:ascii="Times New Roman" w:eastAsia="黑体" w:hAnsi="黑体" w:cs="黑体" w:hint="eastAsia"/>
          <w:sz w:val="30"/>
          <w:szCs w:val="30"/>
        </w:rPr>
        <w:t>三、</w:t>
      </w:r>
      <w:r w:rsidRPr="005B3FC0">
        <w:rPr>
          <w:rFonts w:ascii="黑体" w:eastAsia="黑体" w:hAnsi="黑体" w:cs="黑体" w:hint="eastAsia"/>
          <w:sz w:val="30"/>
          <w:szCs w:val="30"/>
        </w:rPr>
        <w:t>部门预算报表及情况说明</w:t>
      </w:r>
    </w:p>
    <w:p w:rsidR="001F7D1B" w:rsidRDefault="001F7D1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（一）收入支出预算总表及情况说明</w:t>
      </w:r>
    </w:p>
    <w:p w:rsidR="00B3764C" w:rsidRPr="00B3764C" w:rsidRDefault="00B3764C" w:rsidP="00B3764C">
      <w:pPr>
        <w:spacing w:line="560" w:lineRule="exact"/>
        <w:ind w:firstLineChars="200" w:firstLine="600"/>
        <w:jc w:val="center"/>
        <w:rPr>
          <w:rFonts w:ascii="Times New Roman" w:eastAsia="仿宋" w:hAnsi="仿宋" w:cs="仿宋"/>
          <w:sz w:val="30"/>
          <w:szCs w:val="30"/>
        </w:rPr>
      </w:pPr>
      <w:r w:rsidRPr="00B3764C">
        <w:rPr>
          <w:rFonts w:ascii="Times New Roman" w:eastAsia="仿宋" w:hAnsi="仿宋" w:cs="仿宋" w:hint="eastAsia"/>
          <w:sz w:val="30"/>
          <w:szCs w:val="30"/>
        </w:rPr>
        <w:lastRenderedPageBreak/>
        <w:t>表</w:t>
      </w:r>
      <w:r w:rsidRPr="00B3764C">
        <w:rPr>
          <w:rFonts w:ascii="Times New Roman" w:eastAsia="仿宋" w:hAnsi="仿宋" w:cs="仿宋" w:hint="eastAsia"/>
          <w:sz w:val="30"/>
          <w:szCs w:val="30"/>
        </w:rPr>
        <w:t xml:space="preserve">1 </w:t>
      </w:r>
      <w:r w:rsidRPr="00B3764C">
        <w:rPr>
          <w:rFonts w:ascii="Times New Roman" w:eastAsia="仿宋" w:hAnsi="仿宋" w:cs="仿宋" w:hint="eastAsia"/>
          <w:sz w:val="30"/>
          <w:szCs w:val="30"/>
        </w:rPr>
        <w:t>高等学校收支预算总表</w:t>
      </w:r>
    </w:p>
    <w:p w:rsidR="00B3764C" w:rsidRDefault="00B3764C" w:rsidP="00CD0794">
      <w:pPr>
        <w:spacing w:line="560" w:lineRule="exact"/>
        <w:jc w:val="left"/>
        <w:rPr>
          <w:rFonts w:ascii="Times New Roman" w:eastAsia="仿宋" w:hAnsi="仿宋" w:cs="仿宋"/>
          <w:sz w:val="24"/>
          <w:szCs w:val="24"/>
        </w:rPr>
      </w:pPr>
      <w:r w:rsidRPr="00CD0794">
        <w:rPr>
          <w:rFonts w:ascii="Times New Roman" w:eastAsia="仿宋" w:hAnsi="仿宋" w:cs="仿宋" w:hint="eastAsia"/>
          <w:sz w:val="24"/>
          <w:szCs w:val="24"/>
        </w:rPr>
        <w:t>填报单位：中国政法大学</w:t>
      </w:r>
      <w:r w:rsidRPr="00CD0794">
        <w:rPr>
          <w:rFonts w:ascii="Times New Roman" w:eastAsia="仿宋" w:hAnsi="仿宋" w:cs="仿宋" w:hint="eastAsia"/>
          <w:sz w:val="24"/>
          <w:szCs w:val="24"/>
        </w:rPr>
        <w:t xml:space="preserve">         </w:t>
      </w:r>
      <w:r w:rsidR="0009143A">
        <w:rPr>
          <w:rFonts w:ascii="Times New Roman" w:eastAsia="仿宋" w:hAnsi="仿宋" w:cs="仿宋" w:hint="eastAsia"/>
          <w:sz w:val="24"/>
          <w:szCs w:val="24"/>
        </w:rPr>
        <w:t xml:space="preserve">                </w:t>
      </w:r>
      <w:r w:rsidR="00CD0794">
        <w:rPr>
          <w:rFonts w:ascii="Times New Roman" w:eastAsia="仿宋" w:hAnsi="仿宋" w:cs="仿宋" w:hint="eastAsia"/>
          <w:sz w:val="24"/>
          <w:szCs w:val="24"/>
        </w:rPr>
        <w:t xml:space="preserve">              </w:t>
      </w:r>
      <w:r w:rsidRPr="00CD0794">
        <w:rPr>
          <w:rFonts w:ascii="Times New Roman" w:eastAsia="仿宋" w:hAnsi="仿宋" w:cs="仿宋" w:hint="eastAsia"/>
          <w:sz w:val="24"/>
          <w:szCs w:val="24"/>
        </w:rPr>
        <w:t xml:space="preserve">             </w:t>
      </w:r>
      <w:r w:rsidR="0009143A">
        <w:rPr>
          <w:rFonts w:ascii="Times New Roman" w:eastAsia="仿宋" w:hAnsi="仿宋" w:cs="仿宋" w:hint="eastAsia"/>
          <w:sz w:val="24"/>
          <w:szCs w:val="24"/>
        </w:rPr>
        <w:t xml:space="preserve">                       </w:t>
      </w:r>
      <w:r w:rsidRPr="00CD0794">
        <w:rPr>
          <w:rFonts w:ascii="Times New Roman" w:eastAsia="仿宋" w:hAnsi="仿宋" w:cs="仿宋" w:hint="eastAsia"/>
          <w:sz w:val="24"/>
          <w:szCs w:val="24"/>
        </w:rPr>
        <w:t xml:space="preserve">  </w:t>
      </w:r>
      <w:r w:rsidR="00CD0794">
        <w:rPr>
          <w:rFonts w:ascii="Times New Roman" w:eastAsia="仿宋" w:hAnsi="仿宋" w:cs="仿宋" w:hint="eastAsia"/>
          <w:sz w:val="24"/>
          <w:szCs w:val="24"/>
        </w:rPr>
        <w:t xml:space="preserve">      </w:t>
      </w:r>
      <w:r w:rsidRPr="00CD0794">
        <w:rPr>
          <w:rFonts w:ascii="Times New Roman" w:eastAsia="仿宋" w:hAnsi="仿宋" w:cs="仿宋" w:hint="eastAsia"/>
          <w:sz w:val="24"/>
          <w:szCs w:val="24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7"/>
        <w:gridCol w:w="2271"/>
        <w:gridCol w:w="5088"/>
        <w:gridCol w:w="2268"/>
      </w:tblGrid>
      <w:tr w:rsidR="005A6FB3" w:rsidRPr="005A6FB3" w:rsidTr="00A07496">
        <w:trPr>
          <w:trHeight w:val="20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收      入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支      出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预算数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一、</w:t>
            </w:r>
            <w:r w:rsidR="006C0B24" w:rsidRPr="006C0B2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一般公共预算拨款收入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77,017.10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一、教育支出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128,966.00 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二、事业收入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45,770.00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二、文化体育与传媒支出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343.00 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三、事业单位经营收入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900.00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三、住房保障支出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5,675.95 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四、其他收入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10,300.00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其中：捐赠收入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1,500.00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133,987.10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134,984.95 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用事业基金弥补收支差额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结转下年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上年结转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997.85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0794" w:rsidRPr="00CD0794" w:rsidTr="00A07496">
        <w:trPr>
          <w:trHeight w:val="20"/>
        </w:trPr>
        <w:tc>
          <w:tcPr>
            <w:tcW w:w="1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82780F" w:rsidRDefault="005A6FB3" w:rsidP="005A6FB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收    入    总    计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5A6FB3" w:rsidRDefault="005A6FB3" w:rsidP="005A6FB3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5A6FB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 xml:space="preserve">134,984.95 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82780F" w:rsidRDefault="005A6FB3" w:rsidP="005A6FB3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    支    出    总    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B3" w:rsidRPr="0082780F" w:rsidRDefault="005A6FB3" w:rsidP="005A6FB3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 xml:space="preserve">134,984.95 </w:t>
            </w:r>
          </w:p>
        </w:tc>
      </w:tr>
    </w:tbl>
    <w:p w:rsidR="00B3764C" w:rsidRDefault="00B3764C" w:rsidP="00B3764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B3764C">
        <w:rPr>
          <w:rFonts w:ascii="Times New Roman" w:eastAsia="仿宋" w:hAnsi="仿宋" w:cs="仿宋" w:hint="eastAsia"/>
          <w:sz w:val="30"/>
          <w:szCs w:val="30"/>
        </w:rPr>
        <w:t>我校</w:t>
      </w:r>
      <w:r w:rsidR="00CD0794">
        <w:rPr>
          <w:rFonts w:ascii="Times New Roman" w:eastAsia="仿宋" w:hAnsi="仿宋" w:cs="仿宋" w:hint="eastAsia"/>
          <w:sz w:val="30"/>
          <w:szCs w:val="30"/>
        </w:rPr>
        <w:t>2018</w:t>
      </w:r>
      <w:r w:rsidRPr="00B3764C">
        <w:rPr>
          <w:rFonts w:ascii="Times New Roman" w:eastAsia="仿宋" w:hAnsi="仿宋" w:cs="仿宋" w:hint="eastAsia"/>
          <w:sz w:val="30"/>
          <w:szCs w:val="30"/>
        </w:rPr>
        <w:t>年收支总预算</w:t>
      </w:r>
      <w:r w:rsidR="00CD0794" w:rsidRPr="00CD0794">
        <w:rPr>
          <w:rFonts w:ascii="Times New Roman" w:eastAsia="仿宋" w:hAnsi="仿宋" w:cs="仿宋"/>
          <w:sz w:val="30"/>
          <w:szCs w:val="30"/>
        </w:rPr>
        <w:t>134,984.95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万元，比</w:t>
      </w:r>
      <w:r w:rsidR="00CD0794">
        <w:rPr>
          <w:rFonts w:ascii="Times New Roman" w:eastAsia="仿宋" w:hAnsi="仿宋" w:cs="仿宋" w:hint="eastAsia"/>
          <w:sz w:val="30"/>
          <w:szCs w:val="30"/>
        </w:rPr>
        <w:t>2017</w:t>
      </w:r>
      <w:r w:rsidRPr="00B3764C">
        <w:rPr>
          <w:rFonts w:ascii="Times New Roman" w:eastAsia="仿宋" w:hAnsi="仿宋" w:cs="仿宋" w:hint="eastAsia"/>
          <w:sz w:val="30"/>
          <w:szCs w:val="30"/>
        </w:rPr>
        <w:t>年初部门预算增加</w:t>
      </w:r>
      <w:r w:rsidR="006C0C4A">
        <w:rPr>
          <w:rFonts w:ascii="Times New Roman" w:eastAsia="仿宋" w:hAnsi="仿宋" w:cs="仿宋"/>
          <w:sz w:val="30"/>
          <w:szCs w:val="30"/>
        </w:rPr>
        <w:t>22,858.3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万元，其中收入总预算中：一般公共预算拨款收入增加</w:t>
      </w:r>
      <w:r w:rsidR="006C0C4A" w:rsidRPr="006C0C4A">
        <w:rPr>
          <w:rFonts w:ascii="Times New Roman" w:eastAsia="仿宋" w:hAnsi="仿宋" w:cs="仿宋"/>
          <w:sz w:val="30"/>
          <w:szCs w:val="30"/>
        </w:rPr>
        <w:t>14,155.85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万元，事业收入增加</w:t>
      </w:r>
      <w:r w:rsidR="006C0C4A">
        <w:rPr>
          <w:rFonts w:ascii="Times New Roman" w:eastAsia="仿宋" w:hAnsi="仿宋" w:cs="仿宋"/>
          <w:sz w:val="30"/>
          <w:szCs w:val="30"/>
        </w:rPr>
        <w:t>11,940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万元，事业单位经营收入</w:t>
      </w:r>
      <w:r w:rsidR="006C0C4A">
        <w:rPr>
          <w:rFonts w:ascii="Times New Roman" w:eastAsia="仿宋" w:hAnsi="仿宋" w:cs="仿宋" w:hint="eastAsia"/>
          <w:sz w:val="30"/>
          <w:szCs w:val="30"/>
        </w:rPr>
        <w:t>与上年持平</w:t>
      </w:r>
      <w:r w:rsidRPr="00B3764C">
        <w:rPr>
          <w:rFonts w:ascii="Times New Roman" w:eastAsia="仿宋" w:hAnsi="仿宋" w:cs="仿宋" w:hint="eastAsia"/>
          <w:sz w:val="30"/>
          <w:szCs w:val="30"/>
        </w:rPr>
        <w:t>，其他收入增加</w:t>
      </w:r>
      <w:r w:rsidR="006C0C4A">
        <w:rPr>
          <w:rFonts w:ascii="Times New Roman" w:eastAsia="仿宋" w:hAnsi="仿宋" w:cs="仿宋"/>
          <w:sz w:val="30"/>
          <w:szCs w:val="30"/>
        </w:rPr>
        <w:t>800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万元，上年结转</w:t>
      </w:r>
      <w:r w:rsidR="006C0C4A">
        <w:rPr>
          <w:rFonts w:ascii="Times New Roman" w:eastAsia="仿宋" w:hAnsi="仿宋" w:cs="仿宋" w:hint="eastAsia"/>
          <w:sz w:val="30"/>
          <w:szCs w:val="30"/>
        </w:rPr>
        <w:t>减少</w:t>
      </w:r>
      <w:r w:rsidR="006C0C4A" w:rsidRPr="006C0C4A">
        <w:rPr>
          <w:rFonts w:ascii="Times New Roman" w:eastAsia="仿宋" w:hAnsi="仿宋" w:cs="仿宋"/>
          <w:sz w:val="30"/>
          <w:szCs w:val="30"/>
        </w:rPr>
        <w:t>4,037.55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万元；支出总预算中：教育支出增加</w:t>
      </w:r>
      <w:r w:rsidR="006C0C4A" w:rsidRPr="006C0C4A">
        <w:rPr>
          <w:rFonts w:ascii="Times New Roman" w:eastAsia="仿宋" w:hAnsi="仿宋" w:cs="仿宋"/>
          <w:sz w:val="30"/>
          <w:szCs w:val="30"/>
        </w:rPr>
        <w:t>22,111.06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万元，住房保障支出增加</w:t>
      </w:r>
      <w:r w:rsidR="006C0C4A" w:rsidRPr="006C0C4A">
        <w:rPr>
          <w:rFonts w:ascii="Times New Roman" w:eastAsia="仿宋" w:hAnsi="仿宋" w:cs="仿宋"/>
          <w:sz w:val="30"/>
          <w:szCs w:val="30"/>
        </w:rPr>
        <w:t>404.24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万元，</w:t>
      </w:r>
      <w:r w:rsidR="006C0C4A" w:rsidRPr="006C0C4A">
        <w:rPr>
          <w:rFonts w:ascii="Times New Roman" w:eastAsia="仿宋" w:hAnsi="仿宋" w:cs="仿宋" w:hint="eastAsia"/>
          <w:sz w:val="30"/>
          <w:szCs w:val="30"/>
        </w:rPr>
        <w:t>文化体育与传媒支出</w:t>
      </w:r>
      <w:r w:rsidR="006C0C4A">
        <w:rPr>
          <w:rFonts w:ascii="Times New Roman" w:eastAsia="仿宋" w:hAnsi="仿宋" w:cs="仿宋" w:hint="eastAsia"/>
          <w:sz w:val="30"/>
          <w:szCs w:val="30"/>
        </w:rPr>
        <w:t>增加</w:t>
      </w:r>
      <w:r w:rsidR="006C0C4A">
        <w:rPr>
          <w:rFonts w:ascii="Times New Roman" w:eastAsia="仿宋" w:hAnsi="仿宋" w:cs="仿宋" w:hint="eastAsia"/>
          <w:sz w:val="30"/>
          <w:szCs w:val="30"/>
        </w:rPr>
        <w:t>343</w:t>
      </w:r>
      <w:r w:rsidRPr="00B3764C">
        <w:rPr>
          <w:rFonts w:ascii="Times New Roman" w:eastAsia="仿宋" w:hAnsi="仿宋" w:cs="仿宋" w:hint="eastAsia"/>
          <w:sz w:val="30"/>
          <w:szCs w:val="30"/>
        </w:rPr>
        <w:t>万元。</w:t>
      </w:r>
    </w:p>
    <w:p w:rsidR="005410DA" w:rsidRDefault="005410DA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</w:p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lastRenderedPageBreak/>
        <w:t>（二）收入预算表及情况说明</w:t>
      </w:r>
    </w:p>
    <w:p w:rsidR="0009143A" w:rsidRDefault="0094221C" w:rsidP="0009143A">
      <w:pPr>
        <w:spacing w:line="560" w:lineRule="exact"/>
        <w:ind w:firstLineChars="200" w:firstLine="600"/>
        <w:jc w:val="center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仿宋" w:hint="eastAsia"/>
          <w:sz w:val="30"/>
          <w:szCs w:val="30"/>
        </w:rPr>
        <w:t>表</w:t>
      </w:r>
      <w:r>
        <w:rPr>
          <w:rFonts w:ascii="Times New Roman" w:eastAsia="仿宋" w:hAnsi="仿宋" w:cs="仿宋" w:hint="eastAsia"/>
          <w:sz w:val="30"/>
          <w:szCs w:val="30"/>
        </w:rPr>
        <w:t xml:space="preserve">2 </w:t>
      </w:r>
      <w:r w:rsidRPr="0094221C">
        <w:rPr>
          <w:rFonts w:ascii="Times New Roman" w:eastAsia="仿宋" w:hAnsi="仿宋" w:cs="仿宋" w:hint="eastAsia"/>
          <w:sz w:val="30"/>
          <w:szCs w:val="30"/>
        </w:rPr>
        <w:t>高等学校收入预算表</w:t>
      </w:r>
    </w:p>
    <w:p w:rsidR="0094221C" w:rsidRPr="0009143A" w:rsidRDefault="0094221C" w:rsidP="0009143A">
      <w:pPr>
        <w:spacing w:line="560" w:lineRule="exact"/>
        <w:ind w:firstLineChars="150" w:firstLine="360"/>
        <w:rPr>
          <w:rFonts w:ascii="Times New Roman" w:eastAsia="仿宋" w:hAnsi="仿宋" w:cs="仿宋"/>
          <w:sz w:val="30"/>
          <w:szCs w:val="30"/>
        </w:rPr>
      </w:pPr>
      <w:r w:rsidRPr="0094221C">
        <w:rPr>
          <w:rFonts w:ascii="Times New Roman" w:eastAsia="仿宋" w:hAnsi="仿宋" w:cs="仿宋" w:hint="eastAsia"/>
          <w:sz w:val="24"/>
          <w:szCs w:val="24"/>
        </w:rPr>
        <w:t>填报单位：中国政法大学</w:t>
      </w:r>
      <w:r>
        <w:rPr>
          <w:rFonts w:ascii="Times New Roman" w:eastAsia="仿宋" w:hAnsi="仿宋" w:cs="仿宋" w:hint="eastAsia"/>
          <w:sz w:val="24"/>
          <w:szCs w:val="24"/>
        </w:rPr>
        <w:t xml:space="preserve">                        </w:t>
      </w:r>
      <w:r w:rsidR="0009143A">
        <w:rPr>
          <w:rFonts w:ascii="Times New Roman" w:eastAsia="仿宋" w:hAnsi="仿宋" w:cs="仿宋" w:hint="eastAsia"/>
          <w:sz w:val="24"/>
          <w:szCs w:val="24"/>
        </w:rPr>
        <w:t xml:space="preserve">                                          </w:t>
      </w:r>
      <w:r>
        <w:rPr>
          <w:rFonts w:ascii="Times New Roman" w:eastAsia="仿宋" w:hAnsi="仿宋" w:cs="仿宋" w:hint="eastAsia"/>
          <w:sz w:val="24"/>
          <w:szCs w:val="24"/>
        </w:rPr>
        <w:t xml:space="preserve">               </w:t>
      </w:r>
      <w:r>
        <w:rPr>
          <w:rFonts w:ascii="Times New Roman" w:eastAsia="仿宋" w:hAnsi="仿宋" w:cs="仿宋" w:hint="eastAsia"/>
          <w:sz w:val="24"/>
          <w:szCs w:val="24"/>
        </w:rPr>
        <w:t>单位：万元</w:t>
      </w:r>
    </w:p>
    <w:tbl>
      <w:tblPr>
        <w:tblW w:w="56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829"/>
        <w:gridCol w:w="1559"/>
        <w:gridCol w:w="1416"/>
        <w:gridCol w:w="851"/>
        <w:gridCol w:w="1419"/>
        <w:gridCol w:w="1845"/>
        <w:gridCol w:w="1276"/>
        <w:gridCol w:w="991"/>
        <w:gridCol w:w="1413"/>
      </w:tblGrid>
      <w:tr w:rsidR="0009143A" w:rsidRPr="001D646F" w:rsidTr="00FD39C3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经营收入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附属单位缴款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其他收入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其中：教育收费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教育支出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128,011.15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72,980.15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45,770.00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39,620.00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8,361.00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普通教育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127,065.79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72,034.79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45,770.00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39,620.00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8,361.00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127,065.79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72,034.79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45,770.00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39,620.00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8,361.00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留学教育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655.86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655.86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650.86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650.86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其他教育支出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2059999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文化体育与传媒支出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其他文化体育与传媒支出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文化产业发展专项支出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住房保障支出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1,939.00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住房改革支出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1,939.00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A07496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br w:type="page"/>
            </w:r>
            <w:r w:rsidR="0009143A"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3,860.00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1,921.00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1,939.00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2210202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871445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br w:type="page"/>
            </w:r>
            <w:r w:rsidR="0009143A"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143A" w:rsidRPr="001D646F" w:rsidTr="00FD39C3">
        <w:trPr>
          <w:trHeight w:val="2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1D646F" w:rsidRDefault="000914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646F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133,987.10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77,017.10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45,770.00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39,620.00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900.00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0.00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A" w:rsidRPr="0082780F" w:rsidRDefault="000914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2780F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10,300.00</w:t>
            </w:r>
          </w:p>
        </w:tc>
      </w:tr>
    </w:tbl>
    <w:p w:rsidR="001F7D1B" w:rsidRPr="005B3FC0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lastRenderedPageBreak/>
        <w:t>我校</w:t>
      </w:r>
      <w:r w:rsidR="00871445">
        <w:rPr>
          <w:rFonts w:ascii="Times New Roman" w:eastAsia="仿宋" w:hAnsi="仿宋" w:cs="Times New Roman" w:hint="eastAsia"/>
          <w:sz w:val="30"/>
          <w:szCs w:val="30"/>
        </w:rPr>
        <w:t>2018</w:t>
      </w:r>
      <w:r w:rsidRPr="005B3FC0">
        <w:rPr>
          <w:rFonts w:ascii="Times New Roman" w:eastAsia="仿宋" w:hAnsi="仿宋" w:cs="仿宋" w:hint="eastAsia"/>
          <w:sz w:val="30"/>
          <w:szCs w:val="30"/>
        </w:rPr>
        <w:t>年预算收入</w:t>
      </w:r>
      <w:r w:rsidR="00A07496" w:rsidRPr="00A07496">
        <w:rPr>
          <w:rFonts w:ascii="Times New Roman" w:eastAsia="仿宋" w:hAnsi="仿宋" w:cs="Times New Roman"/>
          <w:sz w:val="30"/>
          <w:szCs w:val="30"/>
        </w:rPr>
        <w:t>133,987.10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万元，其中：</w:t>
      </w:r>
      <w:r>
        <w:rPr>
          <w:rFonts w:ascii="Times New Roman" w:eastAsia="仿宋" w:hAnsi="仿宋" w:cs="仿宋" w:hint="eastAsia"/>
          <w:sz w:val="30"/>
          <w:szCs w:val="30"/>
        </w:rPr>
        <w:t>一般公共预算</w:t>
      </w:r>
      <w:r w:rsidRPr="005B3FC0">
        <w:rPr>
          <w:rFonts w:ascii="Times New Roman" w:eastAsia="仿宋" w:hAnsi="仿宋" w:cs="仿宋" w:hint="eastAsia"/>
          <w:sz w:val="30"/>
          <w:szCs w:val="30"/>
        </w:rPr>
        <w:t>拨款</w:t>
      </w:r>
      <w:r w:rsidR="00A07496" w:rsidRPr="00A07496">
        <w:rPr>
          <w:rFonts w:ascii="Times New Roman" w:eastAsia="仿宋" w:hAnsi="仿宋" w:cs="Times New Roman"/>
          <w:sz w:val="30"/>
          <w:szCs w:val="30"/>
        </w:rPr>
        <w:t>77,017.10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57.48</w:t>
      </w:r>
      <w:r w:rsidR="00AE0BAA" w:rsidRPr="00AE0BAA">
        <w:rPr>
          <w:rFonts w:ascii="Times New Roman" w:eastAsia="仿宋" w:hAnsi="仿宋" w:cs="Times New Roman" w:hint="eastAsia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；事业收入</w:t>
      </w:r>
      <w:r w:rsidR="00A07496" w:rsidRPr="00A07496">
        <w:rPr>
          <w:rFonts w:ascii="Times New Roman" w:eastAsia="仿宋" w:hAnsi="仿宋" w:cs="Times New Roman"/>
          <w:sz w:val="30"/>
          <w:szCs w:val="30"/>
        </w:rPr>
        <w:t>45,770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万元（</w:t>
      </w:r>
      <w:r w:rsidR="00A07496">
        <w:rPr>
          <w:rFonts w:ascii="Times New Roman" w:eastAsia="仿宋" w:hAnsi="仿宋" w:cs="仿宋" w:hint="eastAsia"/>
          <w:sz w:val="30"/>
          <w:szCs w:val="30"/>
        </w:rPr>
        <w:t>其中：</w:t>
      </w:r>
      <w:r w:rsidRPr="005B3FC0">
        <w:rPr>
          <w:rFonts w:ascii="Times New Roman" w:eastAsia="仿宋" w:hAnsi="仿宋" w:cs="仿宋" w:hint="eastAsia"/>
          <w:sz w:val="30"/>
          <w:szCs w:val="30"/>
        </w:rPr>
        <w:t>教育事业收入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39,620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万元，科研事业收入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5,700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万元），占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34.16</w:t>
      </w:r>
      <w:r w:rsidR="00AE0BAA" w:rsidRPr="00AE0BAA">
        <w:rPr>
          <w:rFonts w:ascii="Times New Roman" w:eastAsia="仿宋" w:hAnsi="仿宋" w:cs="Times New Roman" w:hint="eastAsia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；事业单位经营收入</w:t>
      </w:r>
      <w:r w:rsidR="00F73A5C">
        <w:rPr>
          <w:rFonts w:ascii="Times New Roman" w:eastAsia="仿宋" w:hAnsi="仿宋" w:cs="Times New Roman" w:hint="eastAsia"/>
          <w:sz w:val="30"/>
          <w:szCs w:val="30"/>
        </w:rPr>
        <w:t>900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0.67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；其他收入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10,300</w:t>
      </w:r>
      <w:r w:rsidRPr="005B3FC0">
        <w:rPr>
          <w:rFonts w:ascii="Times New Roman" w:eastAsia="仿宋" w:hAnsi="仿宋" w:cs="仿宋" w:hint="eastAsia"/>
          <w:sz w:val="30"/>
          <w:szCs w:val="30"/>
        </w:rPr>
        <w:t>万元，占</w:t>
      </w:r>
      <w:r w:rsidR="00A07496">
        <w:rPr>
          <w:rFonts w:ascii="Times New Roman" w:eastAsia="仿宋" w:hAnsi="仿宋" w:cs="Times New Roman" w:hint="eastAsia"/>
          <w:sz w:val="30"/>
          <w:szCs w:val="30"/>
        </w:rPr>
        <w:t>7.69</w:t>
      </w:r>
      <w:r w:rsidRPr="005B3FC0">
        <w:rPr>
          <w:rFonts w:ascii="Times New Roman" w:eastAsia="仿宋" w:hAnsi="仿宋" w:cs="Times New Roman"/>
          <w:sz w:val="30"/>
          <w:szCs w:val="30"/>
        </w:rPr>
        <w:t>%</w:t>
      </w:r>
      <w:r w:rsidRPr="005B3FC0">
        <w:rPr>
          <w:rFonts w:ascii="Times New Roman" w:eastAsia="仿宋" w:hAnsi="仿宋" w:cs="仿宋" w:hint="eastAsia"/>
          <w:sz w:val="30"/>
          <w:szCs w:val="30"/>
        </w:rPr>
        <w:t>。</w:t>
      </w:r>
    </w:p>
    <w:p w:rsidR="00707CDB" w:rsidRDefault="00707CD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</w:p>
    <w:p w:rsidR="001F7D1B" w:rsidRDefault="001F7D1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t>（三）支出预算表及情况说明</w:t>
      </w:r>
    </w:p>
    <w:p w:rsidR="00707CDB" w:rsidRPr="005B3FC0" w:rsidRDefault="00707CDB" w:rsidP="00707CD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707CDB">
        <w:rPr>
          <w:rFonts w:ascii="Times New Roman" w:eastAsia="仿宋" w:hAnsi="仿宋" w:cs="Times New Roman" w:hint="eastAsia"/>
          <w:sz w:val="30"/>
          <w:szCs w:val="30"/>
        </w:rPr>
        <w:t>我校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2018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年预算支出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134,984.95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万元，其中：高等教育基本支出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93,150.93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69.01%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；住房保障基本支出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5,675.95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4.2%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；高等教育项目支出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33,568.07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24.87%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；出国、来华留学教育项目支出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876.3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0.65%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；其他教育项目支出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470.7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0.35%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；文化产业发展专项支出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343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0.25%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；事业单位经营支出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900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万元，占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0.67%</w:t>
      </w:r>
      <w:r w:rsidRPr="00707CDB">
        <w:rPr>
          <w:rFonts w:ascii="Times New Roman" w:eastAsia="仿宋" w:hAnsi="仿宋" w:cs="Times New Roman" w:hint="eastAsia"/>
          <w:sz w:val="30"/>
          <w:szCs w:val="30"/>
        </w:rPr>
        <w:t>。</w:t>
      </w:r>
    </w:p>
    <w:p w:rsidR="00707CDB" w:rsidRDefault="00707CDB" w:rsidP="006B41EB">
      <w:pPr>
        <w:spacing w:line="560" w:lineRule="exact"/>
        <w:ind w:firstLineChars="200" w:firstLine="600"/>
        <w:jc w:val="center"/>
        <w:rPr>
          <w:rFonts w:ascii="Times New Roman" w:eastAsia="仿宋" w:hAnsi="仿宋" w:cs="Times New Roman"/>
          <w:sz w:val="30"/>
          <w:szCs w:val="30"/>
        </w:rPr>
      </w:pPr>
    </w:p>
    <w:p w:rsidR="006B41EB" w:rsidRDefault="006B41EB" w:rsidP="006B41EB">
      <w:pPr>
        <w:spacing w:line="560" w:lineRule="exact"/>
        <w:ind w:firstLineChars="200" w:firstLine="600"/>
        <w:jc w:val="center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表</w:t>
      </w:r>
      <w:r>
        <w:rPr>
          <w:rFonts w:ascii="Times New Roman" w:eastAsia="仿宋" w:hAnsi="仿宋" w:cs="Times New Roman" w:hint="eastAsia"/>
          <w:sz w:val="30"/>
          <w:szCs w:val="30"/>
        </w:rPr>
        <w:t xml:space="preserve">3 </w:t>
      </w:r>
      <w:r w:rsidRPr="006B41EB">
        <w:rPr>
          <w:rFonts w:ascii="Times New Roman" w:eastAsia="仿宋" w:hAnsi="仿宋" w:cs="Times New Roman" w:hint="eastAsia"/>
          <w:sz w:val="30"/>
          <w:szCs w:val="30"/>
        </w:rPr>
        <w:t>高等学校支出预算表</w:t>
      </w:r>
    </w:p>
    <w:p w:rsidR="006B41EB" w:rsidRDefault="006B41EB" w:rsidP="006B41EB">
      <w:pPr>
        <w:spacing w:line="560" w:lineRule="exact"/>
        <w:rPr>
          <w:rFonts w:ascii="Times New Roman" w:eastAsia="仿宋" w:hAnsi="仿宋" w:cs="Times New Roman"/>
          <w:sz w:val="24"/>
          <w:szCs w:val="24"/>
        </w:rPr>
      </w:pPr>
      <w:r w:rsidRPr="006B41EB">
        <w:rPr>
          <w:rFonts w:ascii="Times New Roman" w:eastAsia="仿宋" w:hAnsi="仿宋" w:cs="Times New Roman" w:hint="eastAsia"/>
          <w:sz w:val="24"/>
          <w:szCs w:val="24"/>
        </w:rPr>
        <w:t>填报单位：中国政法大学</w:t>
      </w:r>
      <w:r w:rsidRPr="006B41EB">
        <w:rPr>
          <w:rFonts w:ascii="Times New Roman" w:eastAsia="仿宋" w:hAnsi="仿宋" w:cs="Times New Roman" w:hint="eastAsia"/>
          <w:sz w:val="24"/>
          <w:szCs w:val="24"/>
        </w:rPr>
        <w:t xml:space="preserve">                                              </w:t>
      </w:r>
      <w:r>
        <w:rPr>
          <w:rFonts w:ascii="Times New Roman" w:eastAsia="仿宋" w:hAnsi="仿宋" w:cs="Times New Roman" w:hint="eastAsia"/>
          <w:sz w:val="24"/>
          <w:szCs w:val="24"/>
        </w:rPr>
        <w:t xml:space="preserve">                           </w:t>
      </w:r>
      <w:r w:rsidRPr="006B41EB">
        <w:rPr>
          <w:rFonts w:ascii="Times New Roman" w:eastAsia="仿宋" w:hAnsi="仿宋" w:cs="Times New Roman" w:hint="eastAsia"/>
          <w:sz w:val="24"/>
          <w:szCs w:val="24"/>
        </w:rPr>
        <w:t xml:space="preserve">           </w:t>
      </w:r>
      <w:r w:rsidRPr="006B41EB">
        <w:rPr>
          <w:rFonts w:ascii="Times New Roman" w:eastAsia="仿宋" w:hAnsi="仿宋" w:cs="Times New Roman" w:hint="eastAsia"/>
          <w:sz w:val="24"/>
          <w:szCs w:val="24"/>
        </w:rPr>
        <w:t>单位：万元</w:t>
      </w:r>
    </w:p>
    <w:p w:rsidR="00707CDB" w:rsidRDefault="00707CDB" w:rsidP="006B41EB">
      <w:pPr>
        <w:spacing w:line="560" w:lineRule="exact"/>
        <w:rPr>
          <w:rFonts w:ascii="Times New Roman" w:eastAsia="仿宋" w:hAnsi="仿宋" w:cs="Times New Roman"/>
          <w:sz w:val="24"/>
          <w:szCs w:val="24"/>
        </w:rPr>
      </w:pPr>
    </w:p>
    <w:p w:rsidR="00707CDB" w:rsidRDefault="00707CDB" w:rsidP="006B41EB">
      <w:pPr>
        <w:spacing w:line="560" w:lineRule="exact"/>
        <w:rPr>
          <w:rFonts w:ascii="Times New Roman" w:eastAsia="仿宋" w:hAnsi="仿宋" w:cs="Times New Roman"/>
          <w:sz w:val="24"/>
          <w:szCs w:val="24"/>
        </w:rPr>
      </w:pPr>
    </w:p>
    <w:p w:rsidR="00707CDB" w:rsidRDefault="00707CDB" w:rsidP="006B41EB">
      <w:pPr>
        <w:spacing w:line="560" w:lineRule="exact"/>
        <w:rPr>
          <w:rFonts w:ascii="Times New Roman" w:eastAsia="仿宋" w:hAnsi="仿宋" w:cs="Times New Roman"/>
          <w:sz w:val="24"/>
          <w:szCs w:val="24"/>
        </w:rPr>
      </w:pPr>
    </w:p>
    <w:tbl>
      <w:tblPr>
        <w:tblW w:w="5311" w:type="pct"/>
        <w:tblInd w:w="-489" w:type="dxa"/>
        <w:tblLook w:val="04A0" w:firstRow="1" w:lastRow="0" w:firstColumn="1" w:lastColumn="0" w:noHBand="0" w:noVBand="1"/>
      </w:tblPr>
      <w:tblGrid>
        <w:gridCol w:w="1446"/>
        <w:gridCol w:w="3825"/>
        <w:gridCol w:w="1700"/>
        <w:gridCol w:w="1396"/>
        <w:gridCol w:w="1305"/>
        <w:gridCol w:w="1700"/>
        <w:gridCol w:w="1276"/>
        <w:gridCol w:w="2408"/>
      </w:tblGrid>
      <w:tr w:rsidR="0094083A" w:rsidRPr="0094083A" w:rsidTr="00707CDB">
        <w:trPr>
          <w:trHeight w:val="312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经营支出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A" w:rsidRPr="0094083A" w:rsidRDefault="0094083A" w:rsidP="0094083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对下级单位补助支出</w:t>
            </w:r>
          </w:p>
        </w:tc>
      </w:tr>
      <w:tr w:rsidR="0094083A" w:rsidRPr="0094083A" w:rsidTr="00707CDB">
        <w:trPr>
          <w:trHeight w:val="312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教育支出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128,966.00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93,150.93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34,915.07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普通教育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127,619.00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93,150.93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33,568.07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2050205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127,619.00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93,150.93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33,568.07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900.00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留学教育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876.30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876.30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871.30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871.30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其他教育支出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470.70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470.70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2059999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470.70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470.70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文化体育与传媒支出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其他文化体育与传媒支出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2079903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文化产业发展专项支出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343.00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住房保障支出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住房改革支出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5,675.95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3,860.00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3,860.00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94083A" w:rsidRDefault="0094083A" w:rsidP="0094083A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94083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083A" w:rsidRPr="0094083A" w:rsidTr="00707CDB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134,984.95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98,826.88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35,258.07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900.00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3A" w:rsidRPr="008D0394" w:rsidRDefault="0094083A" w:rsidP="0094083A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0.00</w:t>
            </w:r>
          </w:p>
        </w:tc>
      </w:tr>
    </w:tbl>
    <w:p w:rsidR="00707CDB" w:rsidRDefault="008D0394" w:rsidP="008D0394">
      <w:pPr>
        <w:tabs>
          <w:tab w:val="left" w:pos="12390"/>
        </w:tabs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仿宋"/>
          <w:sz w:val="30"/>
          <w:szCs w:val="30"/>
        </w:rPr>
        <w:tab/>
      </w:r>
    </w:p>
    <w:p w:rsidR="00707CDB" w:rsidRDefault="00707CD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</w:p>
    <w:p w:rsidR="001F7D1B" w:rsidRDefault="001F7D1B" w:rsidP="0099669C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5B3FC0">
        <w:rPr>
          <w:rFonts w:ascii="Times New Roman" w:eastAsia="仿宋" w:hAnsi="仿宋" w:cs="仿宋" w:hint="eastAsia"/>
          <w:sz w:val="30"/>
          <w:szCs w:val="30"/>
        </w:rPr>
        <w:lastRenderedPageBreak/>
        <w:t>（四）</w:t>
      </w:r>
      <w:r>
        <w:rPr>
          <w:rFonts w:ascii="Times New Roman" w:eastAsia="仿宋" w:hAnsi="仿宋" w:cs="仿宋" w:hint="eastAsia"/>
          <w:sz w:val="30"/>
          <w:szCs w:val="30"/>
        </w:rPr>
        <w:t>一般公共</w:t>
      </w:r>
      <w:r w:rsidRPr="005B3FC0">
        <w:rPr>
          <w:rFonts w:ascii="Times New Roman" w:eastAsia="仿宋" w:hAnsi="仿宋" w:cs="仿宋" w:hint="eastAsia"/>
          <w:sz w:val="30"/>
          <w:szCs w:val="30"/>
        </w:rPr>
        <w:t>预算</w:t>
      </w:r>
      <w:r>
        <w:rPr>
          <w:rFonts w:ascii="Times New Roman" w:eastAsia="仿宋" w:hAnsi="仿宋" w:cs="仿宋" w:hint="eastAsia"/>
          <w:sz w:val="30"/>
          <w:szCs w:val="30"/>
        </w:rPr>
        <w:t>支出</w:t>
      </w:r>
      <w:r w:rsidRPr="005B3FC0">
        <w:rPr>
          <w:rFonts w:ascii="Times New Roman" w:eastAsia="仿宋" w:hAnsi="仿宋" w:cs="仿宋" w:hint="eastAsia"/>
          <w:sz w:val="30"/>
          <w:szCs w:val="30"/>
        </w:rPr>
        <w:t>表及情况说明</w:t>
      </w:r>
    </w:p>
    <w:p w:rsidR="0094083A" w:rsidRDefault="0094083A" w:rsidP="0094083A">
      <w:pPr>
        <w:spacing w:line="560" w:lineRule="exact"/>
        <w:ind w:firstLineChars="200" w:firstLine="600"/>
        <w:jc w:val="center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仿宋" w:hint="eastAsia"/>
          <w:sz w:val="30"/>
          <w:szCs w:val="30"/>
        </w:rPr>
        <w:t>表</w:t>
      </w:r>
      <w:r>
        <w:rPr>
          <w:rFonts w:ascii="Times New Roman" w:eastAsia="仿宋" w:hAnsi="仿宋" w:cs="仿宋" w:hint="eastAsia"/>
          <w:sz w:val="30"/>
          <w:szCs w:val="30"/>
        </w:rPr>
        <w:t xml:space="preserve">4 </w:t>
      </w:r>
      <w:r w:rsidRPr="0094083A">
        <w:rPr>
          <w:rFonts w:ascii="Times New Roman" w:eastAsia="仿宋" w:hAnsi="仿宋" w:cs="仿宋" w:hint="eastAsia"/>
          <w:sz w:val="30"/>
          <w:szCs w:val="30"/>
        </w:rPr>
        <w:t>高等学校财政拨款支出预算表</w:t>
      </w:r>
    </w:p>
    <w:p w:rsidR="0094083A" w:rsidRPr="00707CDB" w:rsidRDefault="0094083A" w:rsidP="001961C4">
      <w:pPr>
        <w:spacing w:line="560" w:lineRule="exact"/>
        <w:jc w:val="left"/>
        <w:rPr>
          <w:rFonts w:ascii="Times New Roman" w:eastAsia="仿宋" w:hAnsi="仿宋" w:cs="仿宋"/>
          <w:sz w:val="24"/>
          <w:szCs w:val="24"/>
        </w:rPr>
      </w:pPr>
      <w:r w:rsidRPr="00707CDB">
        <w:rPr>
          <w:rFonts w:ascii="Times New Roman" w:eastAsia="仿宋" w:hAnsi="仿宋" w:cs="仿宋" w:hint="eastAsia"/>
          <w:sz w:val="24"/>
          <w:szCs w:val="24"/>
        </w:rPr>
        <w:t>填报单位：中国政法大学</w:t>
      </w:r>
      <w:r w:rsidRPr="00707CDB">
        <w:rPr>
          <w:rFonts w:ascii="Times New Roman" w:eastAsia="仿宋" w:hAnsi="仿宋" w:cs="仿宋" w:hint="eastAsia"/>
          <w:sz w:val="24"/>
          <w:szCs w:val="24"/>
        </w:rPr>
        <w:t xml:space="preserve">                                                        </w:t>
      </w:r>
      <w:r w:rsidR="001961C4">
        <w:rPr>
          <w:rFonts w:ascii="Times New Roman" w:eastAsia="仿宋" w:hAnsi="仿宋" w:cs="仿宋" w:hint="eastAsia"/>
          <w:sz w:val="24"/>
          <w:szCs w:val="24"/>
        </w:rPr>
        <w:t xml:space="preserve">                            </w:t>
      </w:r>
      <w:r w:rsidRPr="00707CDB">
        <w:rPr>
          <w:rFonts w:ascii="Times New Roman" w:eastAsia="仿宋" w:hAnsi="仿宋" w:cs="仿宋" w:hint="eastAsia"/>
          <w:sz w:val="24"/>
          <w:szCs w:val="24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5"/>
        <w:gridCol w:w="3841"/>
        <w:gridCol w:w="2197"/>
        <w:gridCol w:w="2197"/>
        <w:gridCol w:w="2197"/>
        <w:gridCol w:w="2197"/>
      </w:tblGrid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合  计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教育支出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72,980.15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45,994.93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26,985.22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普通教育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72,034.79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45,994.93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26,039.86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2050205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72,034.79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45,994.93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26,039.86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留学教育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655.86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655.86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出国留学教育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2050602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来华留学教育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650.86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650.86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其他教育支出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2059999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289.50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文化体育与传媒支出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其他文化体育与传媒支出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2079903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文化产业发展专项支出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住房保障支出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        住房改革支出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3,736.95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2210201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1,921.00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1,921.00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提租补贴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324.33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2210203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1,491.62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righ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7C07EB" w:rsidRDefault="00707CDB" w:rsidP="006C0B24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7C07EB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7CDB" w:rsidRPr="007C07EB" w:rsidTr="00707CDB">
        <w:trPr>
          <w:cantSplit/>
          <w:trHeight w:val="20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77,017.10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49,731.88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27,285.22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B" w:rsidRPr="008D0394" w:rsidRDefault="00707CDB" w:rsidP="006C0B24">
            <w:pPr>
              <w:widowControl/>
              <w:jc w:val="left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8D0394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7CDB" w:rsidRPr="00707CDB" w:rsidRDefault="00707CDB" w:rsidP="00707CD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707CDB">
        <w:rPr>
          <w:rFonts w:ascii="Times New Roman" w:eastAsia="仿宋" w:hAnsi="仿宋" w:cs="仿宋" w:hint="eastAsia"/>
          <w:sz w:val="30"/>
          <w:szCs w:val="30"/>
        </w:rPr>
        <w:t>我校</w:t>
      </w:r>
      <w:r w:rsidR="001961C4">
        <w:rPr>
          <w:rFonts w:ascii="Times New Roman" w:eastAsia="仿宋" w:hAnsi="仿宋" w:cs="Times New Roman" w:hint="eastAsia"/>
          <w:sz w:val="30"/>
          <w:szCs w:val="30"/>
        </w:rPr>
        <w:t>2018</w:t>
      </w:r>
      <w:r w:rsidRPr="00707CDB">
        <w:rPr>
          <w:rFonts w:ascii="Times New Roman" w:eastAsia="仿宋" w:hAnsi="仿宋" w:cs="仿宋" w:hint="eastAsia"/>
          <w:sz w:val="30"/>
          <w:szCs w:val="30"/>
        </w:rPr>
        <w:t>年一般公共预算支出</w:t>
      </w:r>
      <w:r w:rsidR="001961C4" w:rsidRPr="001961C4">
        <w:rPr>
          <w:rFonts w:ascii="Times New Roman" w:eastAsia="仿宋" w:hAnsi="仿宋" w:cs="Times New Roman"/>
          <w:sz w:val="30"/>
          <w:szCs w:val="30"/>
        </w:rPr>
        <w:t>77,017.10</w:t>
      </w:r>
      <w:r w:rsidRPr="00707CDB">
        <w:rPr>
          <w:rFonts w:ascii="Times New Roman" w:eastAsia="仿宋" w:hAnsi="仿宋" w:cs="仿宋" w:hint="eastAsia"/>
          <w:sz w:val="30"/>
          <w:szCs w:val="30"/>
        </w:rPr>
        <w:t>万元，与</w:t>
      </w:r>
      <w:r w:rsidRPr="00707CDB">
        <w:rPr>
          <w:rFonts w:ascii="Times New Roman" w:eastAsia="仿宋" w:hAnsi="仿宋" w:cs="Times New Roman"/>
          <w:sz w:val="30"/>
          <w:szCs w:val="30"/>
        </w:rPr>
        <w:t>201</w:t>
      </w:r>
      <w:r w:rsidR="00F612EA">
        <w:rPr>
          <w:rFonts w:ascii="Times New Roman" w:eastAsia="仿宋" w:hAnsi="仿宋" w:cs="Times New Roman" w:hint="eastAsia"/>
          <w:sz w:val="30"/>
          <w:szCs w:val="30"/>
        </w:rPr>
        <w:t>7</w:t>
      </w:r>
      <w:r w:rsidRPr="00707CDB">
        <w:rPr>
          <w:rFonts w:ascii="Times New Roman" w:eastAsia="仿宋" w:hAnsi="仿宋" w:cs="仿宋" w:hint="eastAsia"/>
          <w:sz w:val="30"/>
          <w:szCs w:val="30"/>
        </w:rPr>
        <w:t>年</w:t>
      </w:r>
      <w:r w:rsidR="001961C4">
        <w:rPr>
          <w:rFonts w:ascii="Times New Roman" w:eastAsia="仿宋" w:hAnsi="仿宋" w:cs="仿宋" w:hint="eastAsia"/>
          <w:sz w:val="30"/>
          <w:szCs w:val="30"/>
        </w:rPr>
        <w:t>年初</w:t>
      </w:r>
      <w:r w:rsidRPr="00707CDB">
        <w:rPr>
          <w:rFonts w:ascii="Times New Roman" w:eastAsia="仿宋" w:hAnsi="仿宋" w:cs="仿宋" w:hint="eastAsia"/>
          <w:sz w:val="30"/>
          <w:szCs w:val="30"/>
        </w:rPr>
        <w:t>预算相比增加</w:t>
      </w:r>
      <w:r w:rsidR="001961C4" w:rsidRPr="001961C4">
        <w:rPr>
          <w:rFonts w:ascii="Times New Roman" w:eastAsia="仿宋" w:hAnsi="仿宋" w:cs="仿宋"/>
          <w:sz w:val="30"/>
          <w:szCs w:val="30"/>
        </w:rPr>
        <w:t>14,155.85</w:t>
      </w:r>
      <w:r w:rsidRPr="00707CDB">
        <w:rPr>
          <w:rFonts w:ascii="Times New Roman" w:eastAsia="仿宋" w:hAnsi="仿宋" w:cs="仿宋" w:hint="eastAsia"/>
          <w:sz w:val="30"/>
          <w:szCs w:val="30"/>
        </w:rPr>
        <w:t>万元，增幅约</w:t>
      </w:r>
      <w:r w:rsidR="001961C4" w:rsidRPr="001961C4">
        <w:rPr>
          <w:rFonts w:ascii="Times New Roman" w:eastAsia="仿宋" w:hAnsi="仿宋" w:cs="Times New Roman"/>
          <w:sz w:val="30"/>
          <w:szCs w:val="30"/>
        </w:rPr>
        <w:lastRenderedPageBreak/>
        <w:t>22.52%</w:t>
      </w:r>
      <w:r w:rsidRPr="00707CDB">
        <w:rPr>
          <w:rFonts w:ascii="Times New Roman" w:eastAsia="仿宋" w:hAnsi="仿宋" w:cs="仿宋" w:hint="eastAsia"/>
          <w:sz w:val="30"/>
          <w:szCs w:val="30"/>
        </w:rPr>
        <w:t>。其中：高等教育公共预算支出</w:t>
      </w:r>
      <w:r w:rsidR="00A77652" w:rsidRPr="00A77652">
        <w:rPr>
          <w:rFonts w:ascii="Times New Roman" w:eastAsia="仿宋" w:hAnsi="仿宋" w:cs="Times New Roman"/>
          <w:sz w:val="30"/>
          <w:szCs w:val="30"/>
        </w:rPr>
        <w:t>72,034.79</w:t>
      </w:r>
      <w:r w:rsidRPr="00707CDB">
        <w:rPr>
          <w:rFonts w:ascii="Times New Roman" w:eastAsia="仿宋" w:hAnsi="仿宋" w:cs="仿宋" w:hint="eastAsia"/>
          <w:sz w:val="30"/>
          <w:szCs w:val="30"/>
        </w:rPr>
        <w:t>万元；</w:t>
      </w:r>
      <w:r w:rsidR="00A77652">
        <w:rPr>
          <w:rFonts w:ascii="Times New Roman" w:eastAsia="仿宋" w:hAnsi="仿宋" w:cs="仿宋" w:hint="eastAsia"/>
          <w:sz w:val="30"/>
          <w:szCs w:val="30"/>
        </w:rPr>
        <w:t>出国、来华留学教育公共预算支出</w:t>
      </w:r>
      <w:r w:rsidR="00A77652" w:rsidRPr="00A77652">
        <w:rPr>
          <w:rFonts w:ascii="Times New Roman" w:eastAsia="仿宋" w:hAnsi="仿宋" w:cs="仿宋"/>
          <w:sz w:val="30"/>
          <w:szCs w:val="30"/>
        </w:rPr>
        <w:t>655.86</w:t>
      </w:r>
      <w:r w:rsidR="00A77652">
        <w:rPr>
          <w:rFonts w:ascii="Times New Roman" w:eastAsia="仿宋" w:hAnsi="仿宋" w:cs="仿宋" w:hint="eastAsia"/>
          <w:sz w:val="30"/>
          <w:szCs w:val="30"/>
        </w:rPr>
        <w:t>万元；其他教育公共预算支出</w:t>
      </w:r>
      <w:r w:rsidR="00A77652" w:rsidRPr="00A77652">
        <w:rPr>
          <w:rFonts w:ascii="Times New Roman" w:eastAsia="仿宋" w:hAnsi="仿宋" w:cs="仿宋"/>
          <w:sz w:val="30"/>
          <w:szCs w:val="30"/>
        </w:rPr>
        <w:t>289.50</w:t>
      </w:r>
      <w:r w:rsidR="00A77652">
        <w:rPr>
          <w:rFonts w:ascii="Times New Roman" w:eastAsia="仿宋" w:hAnsi="仿宋" w:cs="仿宋" w:hint="eastAsia"/>
          <w:sz w:val="30"/>
          <w:szCs w:val="30"/>
        </w:rPr>
        <w:t>万元；文化产业发展专项公共预算支出</w:t>
      </w:r>
      <w:r w:rsidR="00A77652">
        <w:rPr>
          <w:rFonts w:ascii="Times New Roman" w:eastAsia="仿宋" w:hAnsi="仿宋" w:cs="仿宋"/>
          <w:sz w:val="30"/>
          <w:szCs w:val="30"/>
        </w:rPr>
        <w:t>300</w:t>
      </w:r>
      <w:r w:rsidR="00A77652">
        <w:rPr>
          <w:rFonts w:ascii="Times New Roman" w:eastAsia="仿宋" w:hAnsi="仿宋" w:cs="仿宋" w:hint="eastAsia"/>
          <w:sz w:val="30"/>
          <w:szCs w:val="30"/>
        </w:rPr>
        <w:t>万元；</w:t>
      </w:r>
      <w:r w:rsidRPr="00707CDB">
        <w:rPr>
          <w:rFonts w:ascii="Times New Roman" w:eastAsia="仿宋" w:hAnsi="仿宋" w:cs="仿宋" w:hint="eastAsia"/>
          <w:sz w:val="30"/>
          <w:szCs w:val="30"/>
        </w:rPr>
        <w:t>住房保障公共预算支出</w:t>
      </w:r>
      <w:r w:rsidR="00A77652" w:rsidRPr="00A77652">
        <w:rPr>
          <w:rFonts w:ascii="Times New Roman" w:eastAsia="仿宋" w:hAnsi="仿宋" w:cs="Times New Roman"/>
          <w:sz w:val="30"/>
          <w:szCs w:val="30"/>
        </w:rPr>
        <w:t>3,736.95</w:t>
      </w:r>
      <w:r w:rsidRPr="00707CDB">
        <w:rPr>
          <w:rFonts w:ascii="Times New Roman" w:eastAsia="仿宋" w:hAnsi="仿宋" w:cs="仿宋" w:hint="eastAsia"/>
          <w:sz w:val="30"/>
          <w:szCs w:val="30"/>
        </w:rPr>
        <w:t>万元。说明如下：</w:t>
      </w:r>
    </w:p>
    <w:p w:rsidR="00707CDB" w:rsidRPr="00707CDB" w:rsidRDefault="00707CDB" w:rsidP="00707CD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707CDB">
        <w:rPr>
          <w:rFonts w:ascii="Times New Roman" w:eastAsia="仿宋" w:hAnsi="仿宋" w:cs="Times New Roman"/>
          <w:sz w:val="30"/>
          <w:szCs w:val="30"/>
        </w:rPr>
        <w:t>1.</w:t>
      </w:r>
      <w:r w:rsidRPr="00707CDB">
        <w:rPr>
          <w:rFonts w:ascii="Times New Roman" w:eastAsia="仿宋" w:hAnsi="仿宋" w:cs="仿宋" w:hint="eastAsia"/>
          <w:sz w:val="30"/>
          <w:szCs w:val="30"/>
        </w:rPr>
        <w:t>高等教育公共预算支出</w:t>
      </w:r>
    </w:p>
    <w:p w:rsidR="00707CDB" w:rsidRDefault="00A77652" w:rsidP="00707CDB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2018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年，教育部批复我校高等教育公共预算支出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72,034.79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万元，比</w:t>
      </w:r>
      <w:r w:rsidR="008855A9">
        <w:rPr>
          <w:rFonts w:ascii="Times New Roman" w:eastAsia="仿宋" w:hAnsi="仿宋" w:cs="Times New Roman" w:hint="eastAsia"/>
          <w:sz w:val="30"/>
          <w:szCs w:val="30"/>
        </w:rPr>
        <w:t>2017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年年初预算增加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13,197.25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万元。其中：基本支出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45,994.93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万元，比</w:t>
      </w:r>
      <w:r w:rsidR="008855A9">
        <w:rPr>
          <w:rFonts w:ascii="Times New Roman" w:eastAsia="仿宋" w:hAnsi="仿宋" w:cs="Times New Roman" w:hint="eastAsia"/>
          <w:sz w:val="30"/>
          <w:szCs w:val="30"/>
        </w:rPr>
        <w:t>2017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年年初预算增加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3</w:t>
      </w:r>
      <w:r w:rsidR="00883D9A">
        <w:rPr>
          <w:rFonts w:ascii="Times New Roman" w:eastAsia="仿宋" w:hAnsi="仿宋" w:cs="Times New Roman" w:hint="eastAsia"/>
          <w:sz w:val="30"/>
          <w:szCs w:val="30"/>
        </w:rPr>
        <w:t>,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151.39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万元，增幅约</w:t>
      </w:r>
      <w:r w:rsidR="008855A9">
        <w:rPr>
          <w:rFonts w:ascii="Times New Roman" w:eastAsia="仿宋" w:hAnsi="仿宋" w:cs="Times New Roman"/>
          <w:sz w:val="30"/>
          <w:szCs w:val="30"/>
        </w:rPr>
        <w:t>7.36</w:t>
      </w:r>
      <w:r w:rsidR="00707CDB" w:rsidRPr="00707CDB">
        <w:rPr>
          <w:rFonts w:ascii="Times New Roman" w:eastAsia="仿宋" w:hAnsi="仿宋" w:cs="Times New Roman"/>
          <w:sz w:val="30"/>
          <w:szCs w:val="30"/>
        </w:rPr>
        <w:t>%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；项目支出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26,039.86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万元，比</w:t>
      </w:r>
      <w:r w:rsidR="008855A9">
        <w:rPr>
          <w:rFonts w:ascii="Times New Roman" w:eastAsia="仿宋" w:hAnsi="仿宋" w:cs="Times New Roman" w:hint="eastAsia"/>
          <w:sz w:val="30"/>
          <w:szCs w:val="30"/>
        </w:rPr>
        <w:t>2017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年年初预算增加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10</w:t>
      </w:r>
      <w:r w:rsidR="008855A9">
        <w:rPr>
          <w:rFonts w:ascii="Times New Roman" w:eastAsia="仿宋" w:hAnsi="仿宋" w:cs="Times New Roman" w:hint="eastAsia"/>
          <w:sz w:val="30"/>
          <w:szCs w:val="30"/>
        </w:rPr>
        <w:t>,</w:t>
      </w:r>
      <w:r w:rsidR="008855A9" w:rsidRPr="008855A9">
        <w:rPr>
          <w:rFonts w:ascii="Times New Roman" w:eastAsia="仿宋" w:hAnsi="仿宋" w:cs="Times New Roman"/>
          <w:sz w:val="30"/>
          <w:szCs w:val="30"/>
        </w:rPr>
        <w:t>045.86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万元，增幅约</w:t>
      </w:r>
      <w:r w:rsidR="008855A9">
        <w:rPr>
          <w:rFonts w:ascii="Times New Roman" w:eastAsia="仿宋" w:hAnsi="仿宋" w:cs="Times New Roman"/>
          <w:sz w:val="30"/>
          <w:szCs w:val="30"/>
        </w:rPr>
        <w:t>62.81</w:t>
      </w:r>
      <w:r w:rsidR="00707CDB" w:rsidRPr="00707CDB">
        <w:rPr>
          <w:rFonts w:ascii="Times New Roman" w:eastAsia="仿宋" w:hAnsi="仿宋" w:cs="Times New Roman" w:hint="eastAsia"/>
          <w:sz w:val="30"/>
          <w:szCs w:val="30"/>
        </w:rPr>
        <w:t>%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。主要原因有：</w:t>
      </w:r>
      <w:r w:rsidR="00406A29">
        <w:rPr>
          <w:rFonts w:ascii="Times New Roman" w:eastAsia="仿宋" w:hAnsi="仿宋" w:cs="Times New Roman" w:hint="eastAsia"/>
          <w:sz w:val="30"/>
          <w:szCs w:val="30"/>
        </w:rPr>
        <w:t>2018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年年初预算中，包含</w:t>
      </w:r>
      <w:r w:rsidR="00406A29" w:rsidRPr="00406A29">
        <w:rPr>
          <w:rFonts w:ascii="Times New Roman" w:eastAsia="仿宋" w:hAnsi="仿宋" w:cs="仿宋" w:hint="eastAsia"/>
          <w:sz w:val="30"/>
          <w:szCs w:val="30"/>
        </w:rPr>
        <w:t>2017</w:t>
      </w:r>
      <w:r w:rsidR="00406A29" w:rsidRPr="00406A29">
        <w:rPr>
          <w:rFonts w:ascii="Times New Roman" w:eastAsia="仿宋" w:hAnsi="仿宋" w:cs="仿宋" w:hint="eastAsia"/>
          <w:sz w:val="30"/>
          <w:szCs w:val="30"/>
        </w:rPr>
        <w:t>调</w:t>
      </w:r>
      <w:proofErr w:type="gramStart"/>
      <w:r w:rsidR="00406A29" w:rsidRPr="00406A29">
        <w:rPr>
          <w:rFonts w:ascii="Times New Roman" w:eastAsia="仿宋" w:hAnsi="仿宋" w:cs="仿宋" w:hint="eastAsia"/>
          <w:sz w:val="30"/>
          <w:szCs w:val="30"/>
        </w:rPr>
        <w:t>标增加</w:t>
      </w:r>
      <w:proofErr w:type="gramEnd"/>
      <w:r w:rsidR="00406A29" w:rsidRPr="00406A29">
        <w:rPr>
          <w:rFonts w:ascii="Times New Roman" w:eastAsia="仿宋" w:hAnsi="仿宋" w:cs="仿宋" w:hint="eastAsia"/>
          <w:sz w:val="30"/>
          <w:szCs w:val="30"/>
        </w:rPr>
        <w:t>离退休津补贴</w:t>
      </w:r>
      <w:r w:rsidR="00406A29" w:rsidRPr="00406A29">
        <w:rPr>
          <w:rFonts w:ascii="Times New Roman" w:eastAsia="仿宋" w:hAnsi="仿宋" w:cs="仿宋"/>
          <w:sz w:val="30"/>
          <w:szCs w:val="30"/>
        </w:rPr>
        <w:t>1,337.26</w:t>
      </w:r>
      <w:r w:rsidR="00FA0296">
        <w:rPr>
          <w:rFonts w:ascii="Times New Roman" w:eastAsia="仿宋" w:hAnsi="仿宋" w:cs="仿宋" w:hint="eastAsia"/>
          <w:sz w:val="30"/>
          <w:szCs w:val="30"/>
        </w:rPr>
        <w:t>万</w:t>
      </w:r>
      <w:r w:rsidR="001E10A3">
        <w:rPr>
          <w:rFonts w:ascii="Times New Roman" w:eastAsia="仿宋" w:hAnsi="仿宋" w:cs="仿宋" w:hint="eastAsia"/>
          <w:sz w:val="30"/>
          <w:szCs w:val="30"/>
        </w:rPr>
        <w:t>元</w:t>
      </w:r>
      <w:r w:rsidR="00FA0296">
        <w:rPr>
          <w:rFonts w:ascii="Times New Roman" w:eastAsia="仿宋" w:hAnsi="仿宋" w:cs="仿宋" w:hint="eastAsia"/>
          <w:sz w:val="30"/>
          <w:szCs w:val="30"/>
        </w:rPr>
        <w:t>；</w:t>
      </w:r>
      <w:r w:rsidR="00406A29">
        <w:rPr>
          <w:rFonts w:ascii="Times New Roman" w:eastAsia="仿宋" w:hAnsi="仿宋" w:cs="仿宋" w:hint="eastAsia"/>
          <w:sz w:val="30"/>
          <w:szCs w:val="30"/>
        </w:rPr>
        <w:t>学生奖助学金</w:t>
      </w:r>
      <w:r w:rsidR="001E10A3">
        <w:rPr>
          <w:rFonts w:ascii="Times New Roman" w:eastAsia="仿宋" w:hAnsi="仿宋" w:cs="仿宋" w:hint="eastAsia"/>
          <w:sz w:val="30"/>
          <w:szCs w:val="30"/>
        </w:rPr>
        <w:t>及研究生拨款有所增加，导致</w:t>
      </w:r>
      <w:r w:rsidR="00406A29">
        <w:rPr>
          <w:rFonts w:ascii="Times New Roman" w:eastAsia="仿宋" w:hAnsi="仿宋" w:cs="仿宋" w:hint="eastAsia"/>
          <w:sz w:val="30"/>
          <w:szCs w:val="30"/>
        </w:rPr>
        <w:t>基本支出增加</w:t>
      </w:r>
      <w:r w:rsidR="00FA0296">
        <w:rPr>
          <w:rFonts w:ascii="Times New Roman" w:eastAsia="仿宋" w:hAnsi="仿宋" w:cs="仿宋" w:hint="eastAsia"/>
          <w:sz w:val="30"/>
          <w:szCs w:val="30"/>
        </w:rPr>
        <w:t>。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 xml:space="preserve"> 201</w:t>
      </w:r>
      <w:r w:rsidR="00406A29">
        <w:rPr>
          <w:rFonts w:ascii="Times New Roman" w:eastAsia="仿宋" w:hAnsi="仿宋" w:cs="仿宋" w:hint="eastAsia"/>
          <w:sz w:val="30"/>
          <w:szCs w:val="30"/>
        </w:rPr>
        <w:t>8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年年初预算中</w:t>
      </w:r>
      <w:r w:rsidR="00406A29" w:rsidRPr="00406A29">
        <w:rPr>
          <w:rFonts w:ascii="Times New Roman" w:eastAsia="仿宋" w:hAnsi="仿宋" w:cs="仿宋" w:hint="eastAsia"/>
          <w:sz w:val="30"/>
          <w:szCs w:val="30"/>
        </w:rPr>
        <w:t>基本建设经费专项</w:t>
      </w:r>
      <w:r w:rsidR="00406A29">
        <w:rPr>
          <w:rFonts w:ascii="Times New Roman" w:eastAsia="仿宋" w:hAnsi="仿宋" w:cs="仿宋" w:hint="eastAsia"/>
          <w:sz w:val="30"/>
          <w:szCs w:val="30"/>
        </w:rPr>
        <w:t>拨款</w:t>
      </w:r>
      <w:r w:rsidR="00406A29">
        <w:rPr>
          <w:rFonts w:ascii="Times New Roman" w:eastAsia="仿宋" w:hAnsi="仿宋" w:cs="仿宋" w:hint="eastAsia"/>
          <w:sz w:val="30"/>
          <w:szCs w:val="30"/>
        </w:rPr>
        <w:t>7000</w:t>
      </w:r>
      <w:r w:rsidR="00406A29">
        <w:rPr>
          <w:rFonts w:ascii="Times New Roman" w:eastAsia="仿宋" w:hAnsi="仿宋" w:cs="仿宋" w:hint="eastAsia"/>
          <w:sz w:val="30"/>
          <w:szCs w:val="30"/>
        </w:rPr>
        <w:t>万元</w:t>
      </w:r>
      <w:r w:rsidR="008D0394">
        <w:rPr>
          <w:rFonts w:ascii="Times New Roman" w:eastAsia="仿宋" w:hAnsi="仿宋" w:cs="仿宋" w:hint="eastAsia"/>
          <w:sz w:val="30"/>
          <w:szCs w:val="30"/>
        </w:rPr>
        <w:t>，</w:t>
      </w:r>
      <w:r w:rsidR="00406A29">
        <w:rPr>
          <w:rFonts w:ascii="Times New Roman" w:eastAsia="仿宋" w:hAnsi="仿宋" w:cs="仿宋" w:hint="eastAsia"/>
          <w:sz w:val="30"/>
          <w:szCs w:val="30"/>
        </w:rPr>
        <w:t>而此项目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2017</w:t>
      </w:r>
      <w:r w:rsidR="00FA0296">
        <w:rPr>
          <w:rFonts w:ascii="Times New Roman" w:eastAsia="仿宋" w:hAnsi="仿宋" w:cs="仿宋" w:hint="eastAsia"/>
          <w:sz w:val="30"/>
          <w:szCs w:val="30"/>
        </w:rPr>
        <w:t>年未拨款；</w:t>
      </w:r>
      <w:r w:rsidR="00406A29">
        <w:rPr>
          <w:rFonts w:ascii="Times New Roman" w:eastAsia="仿宋" w:hAnsi="仿宋" w:cs="仿宋" w:hint="eastAsia"/>
          <w:sz w:val="30"/>
          <w:szCs w:val="30"/>
        </w:rPr>
        <w:t>2018</w:t>
      </w:r>
      <w:r w:rsidR="00406A29">
        <w:rPr>
          <w:rFonts w:ascii="Times New Roman" w:eastAsia="仿宋" w:hAnsi="仿宋" w:cs="仿宋" w:hint="eastAsia"/>
          <w:sz w:val="30"/>
          <w:szCs w:val="30"/>
        </w:rPr>
        <w:t>年</w:t>
      </w:r>
      <w:r w:rsidR="00406A29" w:rsidRPr="00406A29">
        <w:rPr>
          <w:rFonts w:ascii="Times New Roman" w:eastAsia="仿宋" w:hAnsi="仿宋" w:cs="仿宋" w:hint="eastAsia"/>
          <w:sz w:val="30"/>
          <w:szCs w:val="30"/>
        </w:rPr>
        <w:t>中央高校建设世界一流大学（学科）和特色发展引导专项资金</w:t>
      </w:r>
      <w:r w:rsidR="00406A29">
        <w:rPr>
          <w:rFonts w:ascii="Times New Roman" w:eastAsia="仿宋" w:hAnsi="仿宋" w:cs="仿宋" w:hint="eastAsia"/>
          <w:sz w:val="30"/>
          <w:szCs w:val="30"/>
        </w:rPr>
        <w:t>拨款较</w:t>
      </w:r>
      <w:r w:rsidR="00406A29">
        <w:rPr>
          <w:rFonts w:ascii="Times New Roman" w:eastAsia="仿宋" w:hAnsi="仿宋" w:cs="仿宋" w:hint="eastAsia"/>
          <w:sz w:val="30"/>
          <w:szCs w:val="30"/>
        </w:rPr>
        <w:t>2017</w:t>
      </w:r>
      <w:r w:rsidR="00406A29">
        <w:rPr>
          <w:rFonts w:ascii="Times New Roman" w:eastAsia="仿宋" w:hAnsi="仿宋" w:cs="仿宋" w:hint="eastAsia"/>
          <w:sz w:val="30"/>
          <w:szCs w:val="30"/>
        </w:rPr>
        <w:t>年</w:t>
      </w:r>
      <w:r w:rsidR="008D0394">
        <w:rPr>
          <w:rFonts w:ascii="Times New Roman" w:eastAsia="仿宋" w:hAnsi="仿宋" w:cs="仿宋" w:hint="eastAsia"/>
          <w:sz w:val="30"/>
          <w:szCs w:val="30"/>
        </w:rPr>
        <w:t>有所</w:t>
      </w:r>
      <w:r w:rsidR="00FA0296">
        <w:rPr>
          <w:rFonts w:ascii="Times New Roman" w:eastAsia="仿宋" w:hAnsi="仿宋" w:cs="仿宋" w:hint="eastAsia"/>
          <w:sz w:val="30"/>
          <w:szCs w:val="30"/>
        </w:rPr>
        <w:t>增加；</w:t>
      </w:r>
      <w:r w:rsidR="00406A29">
        <w:rPr>
          <w:rFonts w:ascii="Times New Roman" w:eastAsia="仿宋" w:hAnsi="仿宋" w:cs="仿宋" w:hint="eastAsia"/>
          <w:sz w:val="30"/>
          <w:szCs w:val="30"/>
        </w:rPr>
        <w:t>另外部分项目由以往</w:t>
      </w:r>
      <w:r w:rsidR="0016705A">
        <w:rPr>
          <w:rFonts w:ascii="Times New Roman" w:eastAsia="仿宋" w:hAnsi="仿宋" w:cs="仿宋" w:hint="eastAsia"/>
          <w:sz w:val="30"/>
          <w:szCs w:val="30"/>
        </w:rPr>
        <w:t>的</w:t>
      </w:r>
      <w:r w:rsidR="00406A29">
        <w:rPr>
          <w:rFonts w:ascii="Times New Roman" w:eastAsia="仿宋" w:hAnsi="仿宋" w:cs="仿宋" w:hint="eastAsia"/>
          <w:sz w:val="30"/>
          <w:szCs w:val="30"/>
        </w:rPr>
        <w:t>年中追拨改为年初预算下达，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因此项目支出有所增加。</w:t>
      </w:r>
      <w:bookmarkStart w:id="0" w:name="_GoBack"/>
      <w:bookmarkEnd w:id="0"/>
    </w:p>
    <w:p w:rsidR="00406A29" w:rsidRDefault="00406A29" w:rsidP="00707CDB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>
        <w:rPr>
          <w:rFonts w:ascii="Times New Roman" w:eastAsia="仿宋" w:hAnsi="仿宋" w:cs="仿宋" w:hint="eastAsia"/>
          <w:sz w:val="30"/>
          <w:szCs w:val="30"/>
        </w:rPr>
        <w:t>2.</w:t>
      </w:r>
      <w:r w:rsidR="0016705A" w:rsidRPr="0016705A">
        <w:rPr>
          <w:rFonts w:ascii="Times New Roman" w:eastAsia="仿宋" w:hAnsi="仿宋" w:cs="仿宋" w:hint="eastAsia"/>
          <w:sz w:val="30"/>
          <w:szCs w:val="30"/>
        </w:rPr>
        <w:t>留学教育公共预算支出</w:t>
      </w:r>
    </w:p>
    <w:p w:rsidR="0016705A" w:rsidRDefault="0016705A" w:rsidP="0016705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6705A">
        <w:rPr>
          <w:rFonts w:ascii="Times New Roman" w:eastAsia="仿宋" w:hAnsi="仿宋" w:cs="Times New Roman" w:hint="eastAsia"/>
          <w:sz w:val="30"/>
          <w:szCs w:val="30"/>
        </w:rPr>
        <w:t>2018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年，教育部批复</w:t>
      </w:r>
      <w:r>
        <w:rPr>
          <w:rFonts w:ascii="Times New Roman" w:eastAsia="仿宋" w:hAnsi="仿宋" w:cs="Times New Roman" w:hint="eastAsia"/>
          <w:sz w:val="30"/>
          <w:szCs w:val="30"/>
        </w:rPr>
        <w:t>我校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出国、来华留学教育公共预算支出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655.86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万元</w:t>
      </w:r>
      <w:r>
        <w:rPr>
          <w:rFonts w:ascii="Times New Roman" w:eastAsia="仿宋" w:hAnsi="仿宋" w:cs="Times New Roman" w:hint="eastAsia"/>
          <w:sz w:val="30"/>
          <w:szCs w:val="30"/>
        </w:rPr>
        <w:t>，比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2017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年年初预算增加</w:t>
      </w:r>
      <w:r w:rsidRPr="0016705A">
        <w:rPr>
          <w:rFonts w:ascii="Times New Roman" w:eastAsia="仿宋" w:hAnsi="仿宋" w:cs="Times New Roman"/>
          <w:sz w:val="30"/>
          <w:szCs w:val="30"/>
        </w:rPr>
        <w:t>655.86</w:t>
      </w:r>
      <w:r>
        <w:rPr>
          <w:rFonts w:ascii="Times New Roman" w:eastAsia="仿宋" w:hAnsi="仿宋" w:cs="Times New Roman" w:hint="eastAsia"/>
          <w:sz w:val="30"/>
          <w:szCs w:val="30"/>
        </w:rPr>
        <w:t>万元，全部是项目支出。增加的主要原因是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出国、来华留学教育</w:t>
      </w:r>
      <w:r>
        <w:rPr>
          <w:rFonts w:ascii="Times New Roman" w:eastAsia="仿宋" w:hAnsi="仿宋" w:cs="Times New Roman" w:hint="eastAsia"/>
          <w:sz w:val="30"/>
          <w:szCs w:val="30"/>
        </w:rPr>
        <w:t>项目由以往的年中追拨改为年初预算下达。</w:t>
      </w:r>
    </w:p>
    <w:p w:rsidR="0016705A" w:rsidRDefault="0016705A" w:rsidP="0016705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lastRenderedPageBreak/>
        <w:t>3.</w:t>
      </w:r>
      <w:r w:rsidRPr="0016705A">
        <w:rPr>
          <w:rFonts w:hint="eastAsia"/>
        </w:rPr>
        <w:t xml:space="preserve"> 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其他教育公共预算支出</w:t>
      </w:r>
    </w:p>
    <w:p w:rsidR="0016705A" w:rsidRDefault="0016705A" w:rsidP="0016705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6705A">
        <w:rPr>
          <w:rFonts w:ascii="Times New Roman" w:eastAsia="仿宋" w:hAnsi="仿宋" w:cs="Times New Roman" w:hint="eastAsia"/>
          <w:sz w:val="30"/>
          <w:szCs w:val="30"/>
        </w:rPr>
        <w:t>2018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年，教育部批复我校其他教育公共预算支出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289.50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万元</w:t>
      </w:r>
      <w:r>
        <w:rPr>
          <w:rFonts w:ascii="Times New Roman" w:eastAsia="仿宋" w:hAnsi="仿宋" w:cs="Times New Roman" w:hint="eastAsia"/>
          <w:sz w:val="30"/>
          <w:szCs w:val="30"/>
        </w:rPr>
        <w:t>，比</w:t>
      </w:r>
      <w:r>
        <w:rPr>
          <w:rFonts w:ascii="Times New Roman" w:eastAsia="仿宋" w:hAnsi="仿宋" w:cs="Times New Roman" w:hint="eastAsia"/>
          <w:sz w:val="30"/>
          <w:szCs w:val="30"/>
        </w:rPr>
        <w:t>2017</w:t>
      </w:r>
      <w:r>
        <w:rPr>
          <w:rFonts w:ascii="Times New Roman" w:eastAsia="仿宋" w:hAnsi="仿宋" w:cs="Times New Roman" w:hint="eastAsia"/>
          <w:sz w:val="30"/>
          <w:szCs w:val="30"/>
        </w:rPr>
        <w:t>年年初预算增加</w:t>
      </w:r>
      <w:r>
        <w:rPr>
          <w:rFonts w:ascii="Times New Roman" w:eastAsia="仿宋" w:hAnsi="仿宋" w:cs="Times New Roman" w:hint="eastAsia"/>
          <w:sz w:val="30"/>
          <w:szCs w:val="30"/>
        </w:rPr>
        <w:t>289.50</w:t>
      </w:r>
      <w:r>
        <w:rPr>
          <w:rFonts w:ascii="Times New Roman" w:eastAsia="仿宋" w:hAnsi="仿宋" w:cs="Times New Roman" w:hint="eastAsia"/>
          <w:sz w:val="30"/>
          <w:szCs w:val="30"/>
        </w:rPr>
        <w:t>万元，全部是项目支出。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增加的主要原因</w:t>
      </w:r>
      <w:r>
        <w:rPr>
          <w:rFonts w:ascii="Times New Roman" w:eastAsia="仿宋" w:hAnsi="仿宋" w:cs="Times New Roman" w:hint="eastAsia"/>
          <w:sz w:val="30"/>
          <w:szCs w:val="30"/>
        </w:rPr>
        <w:t>是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其他教育公共预算</w:t>
      </w:r>
      <w:r>
        <w:rPr>
          <w:rFonts w:ascii="Times New Roman" w:eastAsia="仿宋" w:hAnsi="仿宋" w:cs="Times New Roman" w:hint="eastAsia"/>
          <w:sz w:val="30"/>
          <w:szCs w:val="30"/>
        </w:rPr>
        <w:t>项目由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以往的年中追拨改为年初预算下达。</w:t>
      </w:r>
    </w:p>
    <w:p w:rsidR="0016705A" w:rsidRDefault="0016705A" w:rsidP="0016705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4.</w:t>
      </w:r>
      <w:r w:rsidRPr="0016705A">
        <w:rPr>
          <w:rFonts w:hint="eastAsia"/>
        </w:rPr>
        <w:t xml:space="preserve"> 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文化产业发展专项公共预算支出</w:t>
      </w:r>
    </w:p>
    <w:p w:rsidR="0016705A" w:rsidRPr="00707CDB" w:rsidRDefault="0016705A" w:rsidP="0016705A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2018</w:t>
      </w:r>
      <w:r>
        <w:rPr>
          <w:rFonts w:ascii="Times New Roman" w:eastAsia="仿宋" w:hAnsi="仿宋" w:cs="Times New Roman" w:hint="eastAsia"/>
          <w:sz w:val="30"/>
          <w:szCs w:val="30"/>
        </w:rPr>
        <w:t>年，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教育部批复我校文化产业发展专项公共预算支出</w:t>
      </w:r>
      <w:r>
        <w:rPr>
          <w:rFonts w:ascii="Times New Roman" w:eastAsia="仿宋" w:hAnsi="仿宋" w:cs="Times New Roman" w:hint="eastAsia"/>
          <w:sz w:val="30"/>
          <w:szCs w:val="30"/>
        </w:rPr>
        <w:t>300</w:t>
      </w:r>
      <w:r>
        <w:rPr>
          <w:rFonts w:ascii="Times New Roman" w:eastAsia="仿宋" w:hAnsi="仿宋" w:cs="Times New Roman" w:hint="eastAsia"/>
          <w:sz w:val="30"/>
          <w:szCs w:val="30"/>
        </w:rPr>
        <w:t>万元，比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2017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年年初预算增加</w:t>
      </w:r>
      <w:r>
        <w:rPr>
          <w:rFonts w:ascii="Times New Roman" w:eastAsia="仿宋" w:hAnsi="仿宋" w:cs="Times New Roman" w:hint="eastAsia"/>
          <w:sz w:val="30"/>
          <w:szCs w:val="30"/>
        </w:rPr>
        <w:t>300</w:t>
      </w:r>
      <w:r>
        <w:rPr>
          <w:rFonts w:ascii="Times New Roman" w:eastAsia="仿宋" w:hAnsi="仿宋" w:cs="Times New Roman" w:hint="eastAsia"/>
          <w:sz w:val="30"/>
          <w:szCs w:val="30"/>
        </w:rPr>
        <w:t>万元，全部是项目支出。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增加的主要原因是</w:t>
      </w:r>
      <w:r>
        <w:rPr>
          <w:rFonts w:ascii="Times New Roman" w:eastAsia="仿宋" w:hAnsi="仿宋" w:cs="Times New Roman" w:hint="eastAsia"/>
          <w:sz w:val="30"/>
          <w:szCs w:val="30"/>
        </w:rPr>
        <w:t>文化产业发展专项拨款增加，且项目由</w:t>
      </w:r>
      <w:r w:rsidRPr="0016705A">
        <w:rPr>
          <w:rFonts w:ascii="Times New Roman" w:eastAsia="仿宋" w:hAnsi="仿宋" w:cs="Times New Roman" w:hint="eastAsia"/>
          <w:sz w:val="30"/>
          <w:szCs w:val="30"/>
        </w:rPr>
        <w:t>以往的年中追拨改为年初预算下达。</w:t>
      </w:r>
    </w:p>
    <w:p w:rsidR="00707CDB" w:rsidRPr="00707CDB" w:rsidRDefault="0016705A" w:rsidP="00707CD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5</w:t>
      </w:r>
      <w:r w:rsidR="00707CDB" w:rsidRPr="00707CDB">
        <w:rPr>
          <w:rFonts w:ascii="Times New Roman" w:eastAsia="仿宋" w:hAnsi="仿宋" w:cs="Times New Roman"/>
          <w:sz w:val="30"/>
          <w:szCs w:val="30"/>
        </w:rPr>
        <w:t>.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住房保障支出</w:t>
      </w:r>
    </w:p>
    <w:p w:rsidR="00707CDB" w:rsidRPr="00707CDB" w:rsidRDefault="00406A29" w:rsidP="00707CDB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>
        <w:rPr>
          <w:rFonts w:ascii="Times New Roman" w:eastAsia="仿宋" w:hAnsi="仿宋" w:cs="Times New Roman" w:hint="eastAsia"/>
          <w:sz w:val="30"/>
          <w:szCs w:val="30"/>
        </w:rPr>
        <w:t>2018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年，教育部批复我校住房保障公共预算支出</w:t>
      </w:r>
      <w:r w:rsidR="0016705A" w:rsidRPr="0016705A">
        <w:rPr>
          <w:rFonts w:ascii="Times New Roman" w:eastAsia="仿宋" w:hAnsi="仿宋" w:cs="Times New Roman"/>
          <w:sz w:val="30"/>
          <w:szCs w:val="30"/>
        </w:rPr>
        <w:t>3,736.95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</w:t>
      </w:r>
      <w:r w:rsidR="0016705A">
        <w:rPr>
          <w:rFonts w:ascii="Times New Roman" w:eastAsia="仿宋" w:hAnsi="仿宋" w:cs="仿宋" w:hint="eastAsia"/>
          <w:sz w:val="30"/>
          <w:szCs w:val="30"/>
        </w:rPr>
        <w:t>全部是基本支出，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比</w:t>
      </w:r>
      <w:r w:rsidR="0016705A">
        <w:rPr>
          <w:rFonts w:ascii="Times New Roman" w:eastAsia="仿宋" w:hAnsi="仿宋" w:cs="Times New Roman" w:hint="eastAsia"/>
          <w:sz w:val="30"/>
          <w:szCs w:val="30"/>
        </w:rPr>
        <w:t>2017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年年初预算</w:t>
      </w:r>
      <w:r w:rsidR="0016705A">
        <w:rPr>
          <w:rFonts w:ascii="Times New Roman" w:eastAsia="仿宋" w:hAnsi="仿宋" w:cs="仿宋" w:hint="eastAsia"/>
          <w:sz w:val="30"/>
          <w:szCs w:val="30"/>
        </w:rPr>
        <w:t>减少</w:t>
      </w:r>
      <w:r w:rsidR="0016705A" w:rsidRPr="0016705A">
        <w:rPr>
          <w:rFonts w:ascii="Times New Roman" w:eastAsia="仿宋" w:hAnsi="仿宋" w:cs="Times New Roman"/>
          <w:sz w:val="30"/>
          <w:szCs w:val="30"/>
        </w:rPr>
        <w:t>286.76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</w:t>
      </w:r>
      <w:r w:rsidR="0016705A">
        <w:rPr>
          <w:rFonts w:ascii="Times New Roman" w:eastAsia="仿宋" w:hAnsi="仿宋" w:cs="仿宋" w:hint="eastAsia"/>
          <w:sz w:val="30"/>
          <w:szCs w:val="30"/>
        </w:rPr>
        <w:t>减幅</w:t>
      </w:r>
      <w:r w:rsidR="0016705A">
        <w:rPr>
          <w:rFonts w:ascii="Times New Roman" w:eastAsia="仿宋" w:hAnsi="仿宋" w:cs="仿宋"/>
          <w:sz w:val="30"/>
          <w:szCs w:val="30"/>
        </w:rPr>
        <w:t>7.13</w:t>
      </w:r>
      <w:r w:rsidR="00707CDB" w:rsidRPr="00707CDB">
        <w:rPr>
          <w:rFonts w:ascii="Times New Roman" w:eastAsia="仿宋" w:hAnsi="仿宋" w:cs="Times New Roman" w:hint="eastAsia"/>
          <w:sz w:val="30"/>
          <w:szCs w:val="30"/>
        </w:rPr>
        <w:t>%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。其中：住房公积金预算支出</w:t>
      </w:r>
      <w:r w:rsidR="0016705A">
        <w:rPr>
          <w:rFonts w:ascii="Times New Roman" w:eastAsia="仿宋" w:hAnsi="仿宋" w:cs="Times New Roman"/>
          <w:sz w:val="30"/>
          <w:szCs w:val="30"/>
        </w:rPr>
        <w:t>1,921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万元，提租补贴预算支出</w:t>
      </w:r>
      <w:r w:rsidR="0016705A" w:rsidRPr="0016705A">
        <w:rPr>
          <w:rFonts w:ascii="Times New Roman" w:eastAsia="仿宋" w:hAnsi="仿宋" w:cs="Times New Roman"/>
          <w:sz w:val="30"/>
          <w:szCs w:val="30"/>
        </w:rPr>
        <w:t>324.33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万元，购房补贴预算支出</w:t>
      </w:r>
      <w:r w:rsidR="0016705A" w:rsidRPr="0016705A">
        <w:rPr>
          <w:rFonts w:ascii="Times New Roman" w:eastAsia="仿宋" w:hAnsi="仿宋" w:cs="Times New Roman"/>
          <w:sz w:val="30"/>
          <w:szCs w:val="30"/>
        </w:rPr>
        <w:t>1,491.62</w:t>
      </w:r>
      <w:r w:rsidR="00707CDB" w:rsidRPr="00707CDB">
        <w:rPr>
          <w:rFonts w:ascii="Times New Roman" w:eastAsia="仿宋" w:hAnsi="仿宋" w:cs="仿宋" w:hint="eastAsia"/>
          <w:sz w:val="30"/>
          <w:szCs w:val="30"/>
        </w:rPr>
        <w:t>万元。</w:t>
      </w:r>
    </w:p>
    <w:p w:rsidR="006E67BD" w:rsidRDefault="006E67BD" w:rsidP="00B33330">
      <w:pPr>
        <w:spacing w:line="560" w:lineRule="exact"/>
        <w:ind w:firstLineChars="200" w:firstLine="602"/>
        <w:rPr>
          <w:rFonts w:ascii="Times New Roman" w:eastAsia="仿宋" w:hAnsi="仿宋" w:cs="仿宋"/>
          <w:b/>
          <w:bCs/>
          <w:sz w:val="30"/>
          <w:szCs w:val="30"/>
        </w:rPr>
      </w:pPr>
    </w:p>
    <w:p w:rsidR="001F7D1B" w:rsidRPr="001174B9" w:rsidRDefault="001F7D1B" w:rsidP="00B33330">
      <w:pPr>
        <w:spacing w:line="560" w:lineRule="exact"/>
        <w:ind w:firstLineChars="200" w:firstLine="602"/>
        <w:rPr>
          <w:rFonts w:ascii="Times New Roman" w:eastAsia="仿宋" w:hAnsi="仿宋" w:cs="Times New Roman"/>
          <w:b/>
          <w:bCs/>
          <w:sz w:val="30"/>
          <w:szCs w:val="30"/>
        </w:rPr>
      </w:pPr>
      <w:r w:rsidRPr="001174B9">
        <w:rPr>
          <w:rFonts w:ascii="Times New Roman" w:eastAsia="仿宋" w:hAnsi="仿宋" w:cs="仿宋" w:hint="eastAsia"/>
          <w:b/>
          <w:bCs/>
          <w:sz w:val="30"/>
          <w:szCs w:val="30"/>
        </w:rPr>
        <w:t>四、名词解释</w:t>
      </w:r>
    </w:p>
    <w:p w:rsidR="001F7D1B" w:rsidRPr="001174B9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仿宋" w:hint="eastAsia"/>
          <w:sz w:val="30"/>
          <w:szCs w:val="30"/>
        </w:rPr>
        <w:t>（一）收入科目</w:t>
      </w:r>
    </w:p>
    <w:p w:rsidR="001F7D1B" w:rsidRPr="001174B9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/>
          <w:sz w:val="30"/>
          <w:szCs w:val="30"/>
        </w:rPr>
        <w:lastRenderedPageBreak/>
        <w:t>1.</w:t>
      </w:r>
      <w:r w:rsidR="006C0B24" w:rsidRPr="001174B9">
        <w:rPr>
          <w:rFonts w:hint="eastAsia"/>
        </w:rPr>
        <w:t xml:space="preserve"> </w:t>
      </w:r>
      <w:r w:rsidR="006C0B24" w:rsidRPr="001174B9">
        <w:rPr>
          <w:rFonts w:ascii="Times New Roman" w:eastAsia="仿宋" w:hAnsi="仿宋" w:cs="仿宋" w:hint="eastAsia"/>
          <w:sz w:val="30"/>
          <w:szCs w:val="30"/>
        </w:rPr>
        <w:t>一般公共预算拨款收入</w:t>
      </w:r>
      <w:r w:rsidRPr="001174B9">
        <w:rPr>
          <w:rFonts w:ascii="Times New Roman" w:eastAsia="仿宋" w:hAnsi="仿宋" w:cs="仿宋" w:hint="eastAsia"/>
          <w:sz w:val="30"/>
          <w:szCs w:val="30"/>
        </w:rPr>
        <w:t>：指高等学校</w:t>
      </w:r>
      <w:r w:rsidR="006C0B24" w:rsidRPr="001174B9">
        <w:rPr>
          <w:rFonts w:ascii="Times New Roman" w:eastAsia="仿宋" w:hAnsi="仿宋" w:cs="仿宋" w:hint="eastAsia"/>
          <w:sz w:val="30"/>
          <w:szCs w:val="30"/>
        </w:rPr>
        <w:t>本年度</w:t>
      </w:r>
      <w:r w:rsidRPr="001174B9">
        <w:rPr>
          <w:rFonts w:ascii="Times New Roman" w:eastAsia="仿宋" w:hAnsi="仿宋" w:cs="仿宋" w:hint="eastAsia"/>
          <w:sz w:val="30"/>
          <w:szCs w:val="30"/>
        </w:rPr>
        <w:t>从</w:t>
      </w:r>
      <w:r w:rsidR="006C0B24" w:rsidRPr="001174B9">
        <w:rPr>
          <w:rFonts w:ascii="Times New Roman" w:eastAsia="仿宋" w:hAnsi="仿宋" w:cs="仿宋" w:hint="eastAsia"/>
          <w:sz w:val="30"/>
          <w:szCs w:val="30"/>
        </w:rPr>
        <w:t>同级</w:t>
      </w:r>
      <w:r w:rsidRPr="001174B9">
        <w:rPr>
          <w:rFonts w:ascii="Times New Roman" w:eastAsia="仿宋" w:hAnsi="仿宋" w:cs="仿宋" w:hint="eastAsia"/>
          <w:sz w:val="30"/>
          <w:szCs w:val="30"/>
        </w:rPr>
        <w:t>财政部门取得的各类</w:t>
      </w:r>
      <w:r w:rsidR="006C0B24" w:rsidRPr="001174B9">
        <w:rPr>
          <w:rFonts w:ascii="Times New Roman" w:eastAsia="仿宋" w:hAnsi="仿宋" w:cs="仿宋" w:hint="eastAsia"/>
          <w:sz w:val="30"/>
          <w:szCs w:val="30"/>
        </w:rPr>
        <w:t>财政拨款，主要包括财政教育拨款、财政科研拨款和财政其他拨款。</w:t>
      </w:r>
    </w:p>
    <w:p w:rsidR="001F7D1B" w:rsidRPr="001174B9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/>
          <w:sz w:val="30"/>
          <w:szCs w:val="30"/>
        </w:rPr>
        <w:t>2.</w:t>
      </w:r>
      <w:r w:rsidR="006C0B24" w:rsidRPr="001174B9">
        <w:rPr>
          <w:rFonts w:ascii="Times New Roman" w:eastAsia="仿宋" w:hAnsi="仿宋" w:cs="仿宋" w:hint="eastAsia"/>
          <w:sz w:val="30"/>
          <w:szCs w:val="30"/>
        </w:rPr>
        <w:t>事业收入：指高等学校开展教学、科研及其辅助活动取得的收入，主要包括教育事业收入和科研事业收入。</w:t>
      </w:r>
    </w:p>
    <w:p w:rsidR="006C0B24" w:rsidRPr="001174B9" w:rsidRDefault="006C0B24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 w:hint="eastAsia"/>
          <w:sz w:val="30"/>
          <w:szCs w:val="30"/>
        </w:rPr>
        <w:t>3.</w:t>
      </w:r>
      <w:r w:rsidRPr="001174B9">
        <w:rPr>
          <w:rFonts w:ascii="Times New Roman" w:eastAsia="仿宋" w:hAnsi="仿宋" w:cs="Times New Roman" w:hint="eastAsia"/>
          <w:sz w:val="30"/>
          <w:szCs w:val="30"/>
        </w:rPr>
        <w:t>上级补助收入：指高等学校从主管部门和上级单位取得的非财政补助收入。</w:t>
      </w:r>
    </w:p>
    <w:p w:rsidR="001174B9" w:rsidRPr="001174B9" w:rsidRDefault="001174B9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 w:hint="eastAsia"/>
          <w:sz w:val="30"/>
          <w:szCs w:val="30"/>
        </w:rPr>
        <w:t>4.</w:t>
      </w:r>
      <w:r w:rsidRPr="001174B9">
        <w:rPr>
          <w:rFonts w:ascii="Times New Roman" w:eastAsia="仿宋" w:hAnsi="仿宋" w:cs="Times New Roman" w:hint="eastAsia"/>
          <w:sz w:val="30"/>
          <w:szCs w:val="30"/>
        </w:rPr>
        <w:t>附属单位上缴收入：指高等学校附属独立核算单位按有关规定上缴学校的收入。</w:t>
      </w:r>
    </w:p>
    <w:p w:rsidR="001F7D1B" w:rsidRPr="001174B9" w:rsidRDefault="001174B9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 w:hint="eastAsia"/>
          <w:sz w:val="30"/>
          <w:szCs w:val="30"/>
        </w:rPr>
        <w:t>5</w:t>
      </w:r>
      <w:r w:rsidR="001F7D1B" w:rsidRPr="001174B9">
        <w:rPr>
          <w:rFonts w:ascii="Times New Roman" w:eastAsia="仿宋" w:hAnsi="仿宋" w:cs="Times New Roman"/>
          <w:sz w:val="30"/>
          <w:szCs w:val="30"/>
        </w:rPr>
        <w:t>.</w:t>
      </w:r>
      <w:r w:rsidR="001F7D1B" w:rsidRPr="001174B9">
        <w:rPr>
          <w:rFonts w:ascii="Times New Roman" w:eastAsia="仿宋" w:hAnsi="仿宋" w:cs="仿宋" w:hint="eastAsia"/>
          <w:sz w:val="30"/>
          <w:szCs w:val="30"/>
        </w:rPr>
        <w:t>事业单位经营收入：指高等学校在教学、科研活动及其辅助活动之外开展非独立核算经营活动取得的收入。</w:t>
      </w:r>
    </w:p>
    <w:p w:rsidR="001F7D1B" w:rsidRPr="001174B9" w:rsidRDefault="001174B9" w:rsidP="0099669C">
      <w:pPr>
        <w:autoSpaceDE w:val="0"/>
        <w:autoSpaceDN w:val="0"/>
        <w:adjustRightInd w:val="0"/>
        <w:spacing w:line="560" w:lineRule="exact"/>
        <w:ind w:firstLineChars="196" w:firstLine="588"/>
        <w:jc w:val="left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 w:hint="eastAsia"/>
          <w:sz w:val="30"/>
          <w:szCs w:val="30"/>
        </w:rPr>
        <w:t>6</w:t>
      </w:r>
      <w:r w:rsidR="001F7D1B" w:rsidRPr="001174B9">
        <w:rPr>
          <w:rFonts w:ascii="Times New Roman" w:eastAsia="仿宋" w:hAnsi="仿宋" w:cs="Times New Roman"/>
          <w:sz w:val="30"/>
          <w:szCs w:val="30"/>
        </w:rPr>
        <w:t>.</w:t>
      </w:r>
      <w:r w:rsidR="001F7D1B" w:rsidRPr="001174B9">
        <w:rPr>
          <w:rFonts w:ascii="Times New Roman" w:eastAsia="仿宋" w:hAnsi="仿宋" w:cs="仿宋" w:hint="eastAsia"/>
          <w:sz w:val="30"/>
          <w:szCs w:val="30"/>
        </w:rPr>
        <w:t>其他收入：指高等学校取得</w:t>
      </w:r>
      <w:r w:rsidRPr="001174B9">
        <w:rPr>
          <w:rFonts w:ascii="Times New Roman" w:eastAsia="仿宋" w:hAnsi="仿宋" w:cs="仿宋" w:hint="eastAsia"/>
          <w:sz w:val="30"/>
          <w:szCs w:val="30"/>
        </w:rPr>
        <w:t>的上述收入以外</w:t>
      </w:r>
      <w:r w:rsidR="001F7D1B" w:rsidRPr="001174B9">
        <w:rPr>
          <w:rFonts w:ascii="Times New Roman" w:eastAsia="仿宋" w:hAnsi="仿宋" w:cs="仿宋" w:hint="eastAsia"/>
          <w:sz w:val="30"/>
          <w:szCs w:val="30"/>
        </w:rPr>
        <w:t>的各项收入，包括</w:t>
      </w:r>
      <w:r w:rsidRPr="001174B9">
        <w:rPr>
          <w:rFonts w:ascii="Times New Roman" w:eastAsia="仿宋" w:hAnsi="仿宋" w:cs="仿宋" w:hint="eastAsia"/>
          <w:sz w:val="30"/>
          <w:szCs w:val="30"/>
        </w:rPr>
        <w:t>非同级财政拨款、</w:t>
      </w:r>
      <w:r w:rsidR="001F7D1B" w:rsidRPr="001174B9">
        <w:rPr>
          <w:rFonts w:ascii="Times New Roman" w:eastAsia="仿宋" w:hAnsi="仿宋" w:cs="仿宋" w:hint="eastAsia"/>
          <w:sz w:val="30"/>
          <w:szCs w:val="30"/>
        </w:rPr>
        <w:t>投资收益、利息收入、捐赠收入、</w:t>
      </w:r>
      <w:r w:rsidRPr="001174B9">
        <w:rPr>
          <w:rFonts w:ascii="Times New Roman" w:eastAsia="仿宋" w:hAnsi="仿宋" w:cs="仿宋" w:hint="eastAsia"/>
          <w:sz w:val="30"/>
          <w:szCs w:val="30"/>
        </w:rPr>
        <w:t>资产盘盈收入、无法支付的应付款项</w:t>
      </w:r>
      <w:r w:rsidR="001F7D1B" w:rsidRPr="001174B9">
        <w:rPr>
          <w:rFonts w:ascii="Times New Roman" w:eastAsia="仿宋" w:hAnsi="仿宋" w:cs="仿宋" w:hint="eastAsia"/>
          <w:sz w:val="30"/>
          <w:szCs w:val="30"/>
        </w:rPr>
        <w:t>等。</w:t>
      </w:r>
    </w:p>
    <w:p w:rsidR="001F7D1B" w:rsidRPr="001174B9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仿宋" w:hint="eastAsia"/>
          <w:sz w:val="30"/>
          <w:szCs w:val="30"/>
        </w:rPr>
        <w:t>（二）支出科目</w:t>
      </w:r>
    </w:p>
    <w:p w:rsidR="001F7D1B" w:rsidRPr="001174B9" w:rsidRDefault="001F7D1B" w:rsidP="0099669C">
      <w:pPr>
        <w:spacing w:line="560" w:lineRule="exact"/>
        <w:ind w:firstLineChars="200" w:firstLine="600"/>
        <w:rPr>
          <w:rFonts w:ascii="Times New Roman" w:eastAsia="仿宋" w:hAnsi="仿宋" w:cs="Times New Roman"/>
          <w:sz w:val="30"/>
          <w:szCs w:val="30"/>
        </w:rPr>
      </w:pPr>
      <w:r w:rsidRPr="001174B9">
        <w:rPr>
          <w:rFonts w:ascii="Times New Roman" w:eastAsia="仿宋" w:hAnsi="仿宋" w:cs="Times New Roman"/>
          <w:sz w:val="30"/>
          <w:szCs w:val="30"/>
        </w:rPr>
        <w:t>1.</w:t>
      </w:r>
      <w:r w:rsidR="001063F1">
        <w:rPr>
          <w:rFonts w:ascii="Times New Roman" w:eastAsia="仿宋" w:hAnsi="仿宋" w:cs="仿宋" w:hint="eastAsia"/>
          <w:sz w:val="30"/>
          <w:szCs w:val="30"/>
        </w:rPr>
        <w:t>教育支出：反映高等学校教育事务的支出。</w:t>
      </w:r>
    </w:p>
    <w:p w:rsidR="001F7D1B" w:rsidRPr="001174B9" w:rsidRDefault="001F7D1B" w:rsidP="0076206B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1174B9">
        <w:rPr>
          <w:rFonts w:ascii="Times New Roman" w:eastAsia="仿宋" w:hAnsi="仿宋" w:cs="Times New Roman"/>
          <w:sz w:val="30"/>
          <w:szCs w:val="30"/>
        </w:rPr>
        <w:t>2.</w:t>
      </w:r>
      <w:r w:rsidR="00BC7C21" w:rsidRPr="001174B9">
        <w:rPr>
          <w:rFonts w:ascii="Times New Roman" w:eastAsia="仿宋" w:hAnsi="仿宋" w:cs="Times New Roman" w:hint="eastAsia"/>
          <w:sz w:val="30"/>
          <w:szCs w:val="30"/>
        </w:rPr>
        <w:t>文化体育与传媒</w:t>
      </w:r>
      <w:r w:rsidRPr="001174B9">
        <w:rPr>
          <w:rFonts w:ascii="Times New Roman" w:eastAsia="仿宋" w:hAnsi="仿宋" w:cs="Times New Roman" w:hint="eastAsia"/>
          <w:sz w:val="30"/>
          <w:szCs w:val="30"/>
        </w:rPr>
        <w:t>支出：</w:t>
      </w:r>
      <w:r w:rsidRPr="001174B9">
        <w:rPr>
          <w:rFonts w:ascii="Times New Roman" w:eastAsia="仿宋" w:hAnsi="仿宋" w:cs="仿宋" w:hint="eastAsia"/>
          <w:sz w:val="30"/>
          <w:szCs w:val="30"/>
        </w:rPr>
        <w:t>反映高等学校</w:t>
      </w:r>
      <w:r w:rsidR="00BC7C21" w:rsidRPr="001174B9">
        <w:rPr>
          <w:rFonts w:ascii="Times New Roman" w:eastAsia="仿宋" w:hAnsi="仿宋" w:cs="仿宋" w:hint="eastAsia"/>
          <w:sz w:val="30"/>
          <w:szCs w:val="30"/>
        </w:rPr>
        <w:t>在文化、文物、体育、广播影视、新闻出版等方面</w:t>
      </w:r>
      <w:r w:rsidR="001063F1">
        <w:rPr>
          <w:rFonts w:ascii="Times New Roman" w:eastAsia="仿宋" w:hAnsi="仿宋" w:cs="仿宋" w:hint="eastAsia"/>
          <w:sz w:val="30"/>
          <w:szCs w:val="30"/>
        </w:rPr>
        <w:t>的支出。</w:t>
      </w:r>
    </w:p>
    <w:p w:rsidR="001F7D1B" w:rsidRPr="005C342A" w:rsidRDefault="001F7D1B" w:rsidP="005C342A">
      <w:pPr>
        <w:spacing w:line="560" w:lineRule="exact"/>
        <w:ind w:firstLineChars="200" w:firstLine="600"/>
        <w:rPr>
          <w:rFonts w:ascii="Times New Roman" w:eastAsia="仿宋" w:hAnsi="仿宋" w:cs="仿宋"/>
          <w:sz w:val="30"/>
          <w:szCs w:val="30"/>
        </w:rPr>
      </w:pPr>
      <w:r w:rsidRPr="001174B9">
        <w:rPr>
          <w:rFonts w:ascii="Times New Roman" w:eastAsia="仿宋" w:hAnsi="仿宋" w:cs="Times New Roman"/>
          <w:sz w:val="30"/>
          <w:szCs w:val="30"/>
        </w:rPr>
        <w:t>3.</w:t>
      </w:r>
      <w:r w:rsidRPr="001174B9">
        <w:rPr>
          <w:rFonts w:ascii="Times New Roman" w:eastAsia="仿宋" w:hAnsi="仿宋" w:cs="仿宋" w:hint="eastAsia"/>
          <w:sz w:val="30"/>
          <w:szCs w:val="30"/>
        </w:rPr>
        <w:t>住房保障支出：反映高等学校用于职工住房方面的支出。</w:t>
      </w:r>
    </w:p>
    <w:sectPr w:rsidR="001F7D1B" w:rsidRPr="005C342A" w:rsidSect="0009143A"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91" w:rsidRDefault="00241591" w:rsidP="00DC0A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591" w:rsidRDefault="00241591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24" w:rsidRPr="004527EF" w:rsidRDefault="006C0B24" w:rsidP="00986032">
    <w:pPr>
      <w:pStyle w:val="a5"/>
      <w:framePr w:wrap="auto" w:vAnchor="text" w:hAnchor="margin" w:xAlign="outside" w:y="1"/>
      <w:rPr>
        <w:rStyle w:val="a7"/>
        <w:rFonts w:ascii="仿宋" w:eastAsia="仿宋" w:hAnsi="仿宋"/>
        <w:sz w:val="24"/>
        <w:szCs w:val="24"/>
      </w:rPr>
    </w:pPr>
    <w:r w:rsidRPr="004527EF">
      <w:rPr>
        <w:rStyle w:val="a7"/>
        <w:rFonts w:ascii="仿宋" w:eastAsia="仿宋" w:hAnsi="仿宋" w:cs="仿宋"/>
        <w:sz w:val="24"/>
        <w:szCs w:val="24"/>
      </w:rPr>
      <w:fldChar w:fldCharType="begin"/>
    </w:r>
    <w:r w:rsidRPr="004527EF">
      <w:rPr>
        <w:rStyle w:val="a7"/>
        <w:rFonts w:ascii="仿宋" w:eastAsia="仿宋" w:hAnsi="仿宋" w:cs="仿宋"/>
        <w:sz w:val="24"/>
        <w:szCs w:val="24"/>
      </w:rPr>
      <w:instrText xml:space="preserve">PAGE  </w:instrText>
    </w:r>
    <w:r w:rsidRPr="004527EF">
      <w:rPr>
        <w:rStyle w:val="a7"/>
        <w:rFonts w:ascii="仿宋" w:eastAsia="仿宋" w:hAnsi="仿宋" w:cs="仿宋"/>
        <w:sz w:val="24"/>
        <w:szCs w:val="24"/>
      </w:rPr>
      <w:fldChar w:fldCharType="separate"/>
    </w:r>
    <w:r w:rsidR="001E10A3">
      <w:rPr>
        <w:rStyle w:val="a7"/>
        <w:rFonts w:ascii="仿宋" w:eastAsia="仿宋" w:hAnsi="仿宋" w:cs="仿宋"/>
        <w:noProof/>
        <w:sz w:val="24"/>
        <w:szCs w:val="24"/>
      </w:rPr>
      <w:t>- 2 -</w:t>
    </w:r>
    <w:r w:rsidRPr="004527EF">
      <w:rPr>
        <w:rStyle w:val="a7"/>
        <w:rFonts w:ascii="仿宋" w:eastAsia="仿宋" w:hAnsi="仿宋" w:cs="仿宋"/>
        <w:sz w:val="24"/>
        <w:szCs w:val="24"/>
      </w:rPr>
      <w:fldChar w:fldCharType="end"/>
    </w:r>
  </w:p>
  <w:p w:rsidR="006C0B24" w:rsidRDefault="006C0B24" w:rsidP="004527EF">
    <w:pPr>
      <w:pStyle w:val="a5"/>
      <w:ind w:right="360" w:firstLine="360"/>
      <w:jc w:val="center"/>
      <w:rPr>
        <w:rFonts w:cs="Times New Roman"/>
      </w:rPr>
    </w:pPr>
  </w:p>
  <w:p w:rsidR="006C0B24" w:rsidRDefault="006C0B24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24" w:rsidRPr="009747B7" w:rsidRDefault="006C0B24" w:rsidP="00E3513C">
    <w:pPr>
      <w:pStyle w:val="a5"/>
      <w:framePr w:wrap="auto" w:vAnchor="text" w:hAnchor="margin" w:xAlign="outside" w:y="1"/>
      <w:rPr>
        <w:rStyle w:val="a7"/>
        <w:rFonts w:ascii="仿宋" w:eastAsia="仿宋" w:hAnsi="仿宋"/>
        <w:sz w:val="24"/>
        <w:szCs w:val="24"/>
      </w:rPr>
    </w:pPr>
    <w:r w:rsidRPr="009747B7">
      <w:rPr>
        <w:rStyle w:val="a7"/>
        <w:rFonts w:ascii="仿宋" w:eastAsia="仿宋" w:hAnsi="仿宋" w:cs="仿宋"/>
        <w:sz w:val="24"/>
        <w:szCs w:val="24"/>
      </w:rPr>
      <w:fldChar w:fldCharType="begin"/>
    </w:r>
    <w:r w:rsidRPr="009747B7">
      <w:rPr>
        <w:rStyle w:val="a7"/>
        <w:rFonts w:ascii="仿宋" w:eastAsia="仿宋" w:hAnsi="仿宋" w:cs="仿宋"/>
        <w:sz w:val="24"/>
        <w:szCs w:val="24"/>
      </w:rPr>
      <w:instrText xml:space="preserve">PAGE  </w:instrText>
    </w:r>
    <w:r w:rsidRPr="009747B7">
      <w:rPr>
        <w:rStyle w:val="a7"/>
        <w:rFonts w:ascii="仿宋" w:eastAsia="仿宋" w:hAnsi="仿宋" w:cs="仿宋"/>
        <w:sz w:val="24"/>
        <w:szCs w:val="24"/>
      </w:rPr>
      <w:fldChar w:fldCharType="separate"/>
    </w:r>
    <w:r w:rsidR="001E10A3">
      <w:rPr>
        <w:rStyle w:val="a7"/>
        <w:rFonts w:ascii="仿宋" w:eastAsia="仿宋" w:hAnsi="仿宋" w:cs="仿宋"/>
        <w:noProof/>
        <w:sz w:val="24"/>
        <w:szCs w:val="24"/>
      </w:rPr>
      <w:t>- 10 -</w:t>
    </w:r>
    <w:r w:rsidRPr="009747B7">
      <w:rPr>
        <w:rStyle w:val="a7"/>
        <w:rFonts w:ascii="仿宋" w:eastAsia="仿宋" w:hAnsi="仿宋" w:cs="仿宋"/>
        <w:sz w:val="24"/>
        <w:szCs w:val="24"/>
      </w:rPr>
      <w:fldChar w:fldCharType="end"/>
    </w:r>
  </w:p>
  <w:p w:rsidR="006C0B24" w:rsidRDefault="006C0B24" w:rsidP="009747B7">
    <w:pPr>
      <w:pStyle w:val="a5"/>
      <w:ind w:right="360" w:firstLine="360"/>
      <w:jc w:val="center"/>
      <w:rPr>
        <w:rFonts w:cs="Times New Roman"/>
      </w:rPr>
    </w:pPr>
  </w:p>
  <w:p w:rsidR="006C0B24" w:rsidRDefault="006C0B2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91" w:rsidRDefault="00241591" w:rsidP="00DC0A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1591" w:rsidRDefault="00241591" w:rsidP="00DC0A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9E0"/>
    <w:multiLevelType w:val="hybridMultilevel"/>
    <w:tmpl w:val="054ECF78"/>
    <w:lvl w:ilvl="0" w:tplc="3B30F3BC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059005E7"/>
    <w:multiLevelType w:val="hybridMultilevel"/>
    <w:tmpl w:val="0E08B27E"/>
    <w:lvl w:ilvl="0" w:tplc="F274E090">
      <w:start w:val="1"/>
      <w:numFmt w:val="none"/>
      <w:lvlText w:val="一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067C03F0"/>
    <w:multiLevelType w:val="hybridMultilevel"/>
    <w:tmpl w:val="9D48630C"/>
    <w:lvl w:ilvl="0" w:tplc="AAFAD6B0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08927FC2"/>
    <w:multiLevelType w:val="hybridMultilevel"/>
    <w:tmpl w:val="A406008E"/>
    <w:lvl w:ilvl="0" w:tplc="B826302C">
      <w:start w:val="5"/>
      <w:numFmt w:val="none"/>
      <w:lvlText w:val="五、"/>
      <w:lvlJc w:val="left"/>
      <w:pPr>
        <w:ind w:left="3572" w:hanging="297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4">
    <w:nsid w:val="101D5396"/>
    <w:multiLevelType w:val="hybridMultilevel"/>
    <w:tmpl w:val="2B7826BC"/>
    <w:lvl w:ilvl="0" w:tplc="0722E0BC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275183C"/>
    <w:multiLevelType w:val="hybridMultilevel"/>
    <w:tmpl w:val="7554B104"/>
    <w:lvl w:ilvl="0" w:tplc="7C12660C">
      <w:start w:val="4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>
    <w:nsid w:val="2A0371F1"/>
    <w:multiLevelType w:val="hybridMultilevel"/>
    <w:tmpl w:val="DF9E38F4"/>
    <w:lvl w:ilvl="0" w:tplc="6A9AFE1A">
      <w:start w:val="1"/>
      <w:numFmt w:val="japaneseCounting"/>
      <w:lvlText w:val="（%1）"/>
      <w:lvlJc w:val="left"/>
      <w:pPr>
        <w:tabs>
          <w:tab w:val="num" w:pos="1605"/>
        </w:tabs>
        <w:ind w:left="1605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7">
    <w:nsid w:val="2A0C5C01"/>
    <w:multiLevelType w:val="hybridMultilevel"/>
    <w:tmpl w:val="9A704AC8"/>
    <w:lvl w:ilvl="0" w:tplc="6472EA4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2C3A6C46"/>
    <w:multiLevelType w:val="hybridMultilevel"/>
    <w:tmpl w:val="3086E47A"/>
    <w:lvl w:ilvl="0" w:tplc="214476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4FA2B7C"/>
    <w:multiLevelType w:val="hybridMultilevel"/>
    <w:tmpl w:val="1F44F292"/>
    <w:lvl w:ilvl="0" w:tplc="BB368B28">
      <w:start w:val="5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0">
    <w:nsid w:val="3D13510D"/>
    <w:multiLevelType w:val="hybridMultilevel"/>
    <w:tmpl w:val="1A64D236"/>
    <w:lvl w:ilvl="0" w:tplc="0908EC9E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1">
    <w:nsid w:val="490A5A4C"/>
    <w:multiLevelType w:val="hybridMultilevel"/>
    <w:tmpl w:val="58925FDC"/>
    <w:lvl w:ilvl="0" w:tplc="F6D29A3C">
      <w:start w:val="2012"/>
      <w:numFmt w:val="decimal"/>
      <w:lvlText w:val="%1"/>
      <w:lvlJc w:val="left"/>
      <w:pPr>
        <w:ind w:left="12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2">
    <w:nsid w:val="4F6B7532"/>
    <w:multiLevelType w:val="hybridMultilevel"/>
    <w:tmpl w:val="B75E3ABE"/>
    <w:lvl w:ilvl="0" w:tplc="6E7AD964">
      <w:start w:val="1"/>
      <w:numFmt w:val="none"/>
      <w:lvlText w:val="一、"/>
      <w:lvlJc w:val="left"/>
      <w:pPr>
        <w:ind w:left="1316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7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9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1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3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5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76" w:hanging="420"/>
      </w:pPr>
      <w:rPr>
        <w:rFonts w:cs="Times New Roman"/>
      </w:rPr>
    </w:lvl>
  </w:abstractNum>
  <w:abstractNum w:abstractNumId="13">
    <w:nsid w:val="5F4C2A56"/>
    <w:multiLevelType w:val="hybridMultilevel"/>
    <w:tmpl w:val="7B2A9F98"/>
    <w:lvl w:ilvl="0" w:tplc="C6E25B78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61A5374E"/>
    <w:multiLevelType w:val="hybridMultilevel"/>
    <w:tmpl w:val="D2CEA0A2"/>
    <w:lvl w:ilvl="0" w:tplc="4F4A279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5">
    <w:nsid w:val="67835382"/>
    <w:multiLevelType w:val="hybridMultilevel"/>
    <w:tmpl w:val="875C7882"/>
    <w:lvl w:ilvl="0" w:tplc="37DECDD2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6">
    <w:nsid w:val="6CF7212E"/>
    <w:multiLevelType w:val="hybridMultilevel"/>
    <w:tmpl w:val="D1C63906"/>
    <w:lvl w:ilvl="0" w:tplc="E132E99E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7">
    <w:nsid w:val="7249231B"/>
    <w:multiLevelType w:val="hybridMultilevel"/>
    <w:tmpl w:val="4B662000"/>
    <w:lvl w:ilvl="0" w:tplc="FCC6E852">
      <w:start w:val="1"/>
      <w:numFmt w:val="decimal"/>
      <w:lvlText w:val="%1."/>
      <w:lvlJc w:val="left"/>
      <w:pPr>
        <w:ind w:left="1615" w:hanging="9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8">
    <w:nsid w:val="7BCA5A5B"/>
    <w:multiLevelType w:val="hybridMultilevel"/>
    <w:tmpl w:val="858CEF3C"/>
    <w:lvl w:ilvl="0" w:tplc="4948E234">
      <w:start w:val="1"/>
      <w:numFmt w:val="decimal"/>
      <w:lvlText w:val="%1."/>
      <w:lvlJc w:val="left"/>
      <w:pPr>
        <w:ind w:left="1500" w:hanging="9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18"/>
  </w:num>
  <w:num w:numId="16">
    <w:abstractNumId w:val="2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38"/>
    <w:rsid w:val="00001091"/>
    <w:rsid w:val="00001382"/>
    <w:rsid w:val="000101B1"/>
    <w:rsid w:val="000118C2"/>
    <w:rsid w:val="00021CF7"/>
    <w:rsid w:val="00022B88"/>
    <w:rsid w:val="000231EC"/>
    <w:rsid w:val="00026592"/>
    <w:rsid w:val="00026FBA"/>
    <w:rsid w:val="00027D7B"/>
    <w:rsid w:val="0005231B"/>
    <w:rsid w:val="000540E2"/>
    <w:rsid w:val="00076715"/>
    <w:rsid w:val="00076DB3"/>
    <w:rsid w:val="000823E1"/>
    <w:rsid w:val="00083540"/>
    <w:rsid w:val="00085154"/>
    <w:rsid w:val="00085A9D"/>
    <w:rsid w:val="00091286"/>
    <w:rsid w:val="000913C2"/>
    <w:rsid w:val="0009143A"/>
    <w:rsid w:val="000A0A33"/>
    <w:rsid w:val="000A7509"/>
    <w:rsid w:val="000B0889"/>
    <w:rsid w:val="000C016B"/>
    <w:rsid w:val="000D194B"/>
    <w:rsid w:val="000D437E"/>
    <w:rsid w:val="000E0DB2"/>
    <w:rsid w:val="001063F1"/>
    <w:rsid w:val="00111CFA"/>
    <w:rsid w:val="001145D0"/>
    <w:rsid w:val="001174B9"/>
    <w:rsid w:val="00122810"/>
    <w:rsid w:val="001234E9"/>
    <w:rsid w:val="00126894"/>
    <w:rsid w:val="00127778"/>
    <w:rsid w:val="00127E62"/>
    <w:rsid w:val="00132693"/>
    <w:rsid w:val="00132A63"/>
    <w:rsid w:val="00133A76"/>
    <w:rsid w:val="0013441B"/>
    <w:rsid w:val="001369D6"/>
    <w:rsid w:val="0014222E"/>
    <w:rsid w:val="001429F7"/>
    <w:rsid w:val="0014593F"/>
    <w:rsid w:val="00151BE5"/>
    <w:rsid w:val="00151F95"/>
    <w:rsid w:val="0016172B"/>
    <w:rsid w:val="00162221"/>
    <w:rsid w:val="00163549"/>
    <w:rsid w:val="001640EC"/>
    <w:rsid w:val="001652E6"/>
    <w:rsid w:val="001665F2"/>
    <w:rsid w:val="0016705A"/>
    <w:rsid w:val="0017620B"/>
    <w:rsid w:val="001777FD"/>
    <w:rsid w:val="0018251E"/>
    <w:rsid w:val="00182F4C"/>
    <w:rsid w:val="001841F4"/>
    <w:rsid w:val="001907EF"/>
    <w:rsid w:val="0019099A"/>
    <w:rsid w:val="00195FF0"/>
    <w:rsid w:val="001961C4"/>
    <w:rsid w:val="001B0645"/>
    <w:rsid w:val="001B614B"/>
    <w:rsid w:val="001C37DE"/>
    <w:rsid w:val="001C40D2"/>
    <w:rsid w:val="001D0F32"/>
    <w:rsid w:val="001E10A3"/>
    <w:rsid w:val="001E20FF"/>
    <w:rsid w:val="001E366A"/>
    <w:rsid w:val="001E4115"/>
    <w:rsid w:val="001F4304"/>
    <w:rsid w:val="001F7D1B"/>
    <w:rsid w:val="00200290"/>
    <w:rsid w:val="00200FB2"/>
    <w:rsid w:val="00201E94"/>
    <w:rsid w:val="002021D5"/>
    <w:rsid w:val="00210167"/>
    <w:rsid w:val="00211C91"/>
    <w:rsid w:val="002130C9"/>
    <w:rsid w:val="0021520E"/>
    <w:rsid w:val="00215D45"/>
    <w:rsid w:val="002223AD"/>
    <w:rsid w:val="002301BD"/>
    <w:rsid w:val="00230E00"/>
    <w:rsid w:val="00233CF6"/>
    <w:rsid w:val="00236B1A"/>
    <w:rsid w:val="00240131"/>
    <w:rsid w:val="00240816"/>
    <w:rsid w:val="00241591"/>
    <w:rsid w:val="00242909"/>
    <w:rsid w:val="00243168"/>
    <w:rsid w:val="002435EB"/>
    <w:rsid w:val="00245CB3"/>
    <w:rsid w:val="00246ADC"/>
    <w:rsid w:val="0025331F"/>
    <w:rsid w:val="00255692"/>
    <w:rsid w:val="002558A8"/>
    <w:rsid w:val="00255E44"/>
    <w:rsid w:val="002717B9"/>
    <w:rsid w:val="00272DBE"/>
    <w:rsid w:val="00273E75"/>
    <w:rsid w:val="002768E2"/>
    <w:rsid w:val="00283CA5"/>
    <w:rsid w:val="002857FE"/>
    <w:rsid w:val="00287FCC"/>
    <w:rsid w:val="0029478A"/>
    <w:rsid w:val="002A522F"/>
    <w:rsid w:val="002A53AD"/>
    <w:rsid w:val="002A741B"/>
    <w:rsid w:val="002B110B"/>
    <w:rsid w:val="002B21B5"/>
    <w:rsid w:val="002B2618"/>
    <w:rsid w:val="002B2F10"/>
    <w:rsid w:val="002B5042"/>
    <w:rsid w:val="002D1A98"/>
    <w:rsid w:val="002D4AAE"/>
    <w:rsid w:val="002D4C99"/>
    <w:rsid w:val="002D51C5"/>
    <w:rsid w:val="002D5421"/>
    <w:rsid w:val="002E1EBA"/>
    <w:rsid w:val="002F059E"/>
    <w:rsid w:val="002F5FCC"/>
    <w:rsid w:val="00305CC7"/>
    <w:rsid w:val="00305F59"/>
    <w:rsid w:val="003077E1"/>
    <w:rsid w:val="00314291"/>
    <w:rsid w:val="00314B4F"/>
    <w:rsid w:val="003172F3"/>
    <w:rsid w:val="00317998"/>
    <w:rsid w:val="00317C32"/>
    <w:rsid w:val="00320877"/>
    <w:rsid w:val="003264D1"/>
    <w:rsid w:val="0033504F"/>
    <w:rsid w:val="00341F23"/>
    <w:rsid w:val="00353906"/>
    <w:rsid w:val="00354AF1"/>
    <w:rsid w:val="003621A8"/>
    <w:rsid w:val="00366C70"/>
    <w:rsid w:val="0037593F"/>
    <w:rsid w:val="003759D0"/>
    <w:rsid w:val="00376342"/>
    <w:rsid w:val="00380A43"/>
    <w:rsid w:val="003A21CF"/>
    <w:rsid w:val="003A58B8"/>
    <w:rsid w:val="003B3218"/>
    <w:rsid w:val="003B4B36"/>
    <w:rsid w:val="003B539E"/>
    <w:rsid w:val="003B70D2"/>
    <w:rsid w:val="003C090C"/>
    <w:rsid w:val="003C759D"/>
    <w:rsid w:val="003D386E"/>
    <w:rsid w:val="003D4365"/>
    <w:rsid w:val="003D7B3B"/>
    <w:rsid w:val="003E0626"/>
    <w:rsid w:val="003E2CBB"/>
    <w:rsid w:val="003E7434"/>
    <w:rsid w:val="003E7780"/>
    <w:rsid w:val="00401F78"/>
    <w:rsid w:val="00402827"/>
    <w:rsid w:val="00404D8A"/>
    <w:rsid w:val="004065AB"/>
    <w:rsid w:val="004066A6"/>
    <w:rsid w:val="00406A29"/>
    <w:rsid w:val="0040743C"/>
    <w:rsid w:val="004124A0"/>
    <w:rsid w:val="00413ED6"/>
    <w:rsid w:val="004144E4"/>
    <w:rsid w:val="004173E5"/>
    <w:rsid w:val="00417CA9"/>
    <w:rsid w:val="00421D9D"/>
    <w:rsid w:val="004235F7"/>
    <w:rsid w:val="0043430F"/>
    <w:rsid w:val="0044549C"/>
    <w:rsid w:val="00446C18"/>
    <w:rsid w:val="004527EF"/>
    <w:rsid w:val="00456687"/>
    <w:rsid w:val="00463A36"/>
    <w:rsid w:val="004707D5"/>
    <w:rsid w:val="00471394"/>
    <w:rsid w:val="00476962"/>
    <w:rsid w:val="00481F28"/>
    <w:rsid w:val="0048267F"/>
    <w:rsid w:val="004831DA"/>
    <w:rsid w:val="00483F93"/>
    <w:rsid w:val="00492EAA"/>
    <w:rsid w:val="004A3C54"/>
    <w:rsid w:val="004B36D6"/>
    <w:rsid w:val="004B3E93"/>
    <w:rsid w:val="004C43D3"/>
    <w:rsid w:val="004C49DF"/>
    <w:rsid w:val="004D4497"/>
    <w:rsid w:val="004D5DED"/>
    <w:rsid w:val="004E0536"/>
    <w:rsid w:val="004E5DC9"/>
    <w:rsid w:val="004F07D1"/>
    <w:rsid w:val="004F65AC"/>
    <w:rsid w:val="0050435B"/>
    <w:rsid w:val="00505C64"/>
    <w:rsid w:val="005166B1"/>
    <w:rsid w:val="00516C66"/>
    <w:rsid w:val="0051708F"/>
    <w:rsid w:val="00523BF8"/>
    <w:rsid w:val="00525E7B"/>
    <w:rsid w:val="00531055"/>
    <w:rsid w:val="00537C83"/>
    <w:rsid w:val="005410DA"/>
    <w:rsid w:val="00541EC7"/>
    <w:rsid w:val="00544F0D"/>
    <w:rsid w:val="0055111B"/>
    <w:rsid w:val="005536A3"/>
    <w:rsid w:val="005570A7"/>
    <w:rsid w:val="00561702"/>
    <w:rsid w:val="0058052E"/>
    <w:rsid w:val="00581D44"/>
    <w:rsid w:val="00583B79"/>
    <w:rsid w:val="00593F16"/>
    <w:rsid w:val="00594412"/>
    <w:rsid w:val="00595833"/>
    <w:rsid w:val="00595B3D"/>
    <w:rsid w:val="005A230B"/>
    <w:rsid w:val="005A2661"/>
    <w:rsid w:val="005A6FB3"/>
    <w:rsid w:val="005B0A44"/>
    <w:rsid w:val="005B3FC0"/>
    <w:rsid w:val="005C0527"/>
    <w:rsid w:val="005C2378"/>
    <w:rsid w:val="005C342A"/>
    <w:rsid w:val="005C49B1"/>
    <w:rsid w:val="005C5836"/>
    <w:rsid w:val="005D4F7B"/>
    <w:rsid w:val="005D5F3A"/>
    <w:rsid w:val="005E2D88"/>
    <w:rsid w:val="005E5E25"/>
    <w:rsid w:val="005E6E85"/>
    <w:rsid w:val="005F4022"/>
    <w:rsid w:val="006029E4"/>
    <w:rsid w:val="0060674B"/>
    <w:rsid w:val="0061407F"/>
    <w:rsid w:val="00617DCC"/>
    <w:rsid w:val="00633BAC"/>
    <w:rsid w:val="00637AA8"/>
    <w:rsid w:val="0064415E"/>
    <w:rsid w:val="006443DF"/>
    <w:rsid w:val="00644E07"/>
    <w:rsid w:val="00650381"/>
    <w:rsid w:val="00653C4C"/>
    <w:rsid w:val="00662BCD"/>
    <w:rsid w:val="00670BA2"/>
    <w:rsid w:val="00680F83"/>
    <w:rsid w:val="00691C0D"/>
    <w:rsid w:val="00697D37"/>
    <w:rsid w:val="006A35DC"/>
    <w:rsid w:val="006A7CB0"/>
    <w:rsid w:val="006B41EB"/>
    <w:rsid w:val="006C04F6"/>
    <w:rsid w:val="006C0B24"/>
    <w:rsid w:val="006C0C4A"/>
    <w:rsid w:val="006C7C70"/>
    <w:rsid w:val="006C7DB1"/>
    <w:rsid w:val="006D1DC1"/>
    <w:rsid w:val="006D3B48"/>
    <w:rsid w:val="006D6D07"/>
    <w:rsid w:val="006E03F6"/>
    <w:rsid w:val="006E67BD"/>
    <w:rsid w:val="006E6A18"/>
    <w:rsid w:val="00701D33"/>
    <w:rsid w:val="00702B81"/>
    <w:rsid w:val="00707CDB"/>
    <w:rsid w:val="007104A7"/>
    <w:rsid w:val="007206F2"/>
    <w:rsid w:val="00725628"/>
    <w:rsid w:val="007347A4"/>
    <w:rsid w:val="00736942"/>
    <w:rsid w:val="00744F90"/>
    <w:rsid w:val="00746311"/>
    <w:rsid w:val="00747C3F"/>
    <w:rsid w:val="00751AE0"/>
    <w:rsid w:val="00753AAA"/>
    <w:rsid w:val="00755A06"/>
    <w:rsid w:val="00760C26"/>
    <w:rsid w:val="0076206B"/>
    <w:rsid w:val="00767BBA"/>
    <w:rsid w:val="00767DE1"/>
    <w:rsid w:val="007715E7"/>
    <w:rsid w:val="00771E1D"/>
    <w:rsid w:val="00774447"/>
    <w:rsid w:val="00775674"/>
    <w:rsid w:val="007920A2"/>
    <w:rsid w:val="007934E7"/>
    <w:rsid w:val="00793A24"/>
    <w:rsid w:val="00795C9D"/>
    <w:rsid w:val="007B00B1"/>
    <w:rsid w:val="007B1B29"/>
    <w:rsid w:val="007B2C19"/>
    <w:rsid w:val="007B3839"/>
    <w:rsid w:val="007B41CF"/>
    <w:rsid w:val="007C541F"/>
    <w:rsid w:val="007D1630"/>
    <w:rsid w:val="007D34C5"/>
    <w:rsid w:val="007E0275"/>
    <w:rsid w:val="007E06FD"/>
    <w:rsid w:val="007E1D5A"/>
    <w:rsid w:val="007E2E0A"/>
    <w:rsid w:val="007E5324"/>
    <w:rsid w:val="007F3ED3"/>
    <w:rsid w:val="007F70E9"/>
    <w:rsid w:val="00813875"/>
    <w:rsid w:val="0082269B"/>
    <w:rsid w:val="008249C1"/>
    <w:rsid w:val="00826FAB"/>
    <w:rsid w:val="0082780F"/>
    <w:rsid w:val="00833D9A"/>
    <w:rsid w:val="008356D9"/>
    <w:rsid w:val="0084099B"/>
    <w:rsid w:val="00841FB0"/>
    <w:rsid w:val="0084247F"/>
    <w:rsid w:val="00847676"/>
    <w:rsid w:val="00847C78"/>
    <w:rsid w:val="00850D36"/>
    <w:rsid w:val="0086624F"/>
    <w:rsid w:val="00866AB6"/>
    <w:rsid w:val="0087011D"/>
    <w:rsid w:val="00870F93"/>
    <w:rsid w:val="00871445"/>
    <w:rsid w:val="008735D7"/>
    <w:rsid w:val="00883D9A"/>
    <w:rsid w:val="008855A9"/>
    <w:rsid w:val="008A1FEF"/>
    <w:rsid w:val="008A2EE3"/>
    <w:rsid w:val="008A34CA"/>
    <w:rsid w:val="008B794B"/>
    <w:rsid w:val="008D0394"/>
    <w:rsid w:val="008D1505"/>
    <w:rsid w:val="008E3674"/>
    <w:rsid w:val="008E3F6C"/>
    <w:rsid w:val="008E41F0"/>
    <w:rsid w:val="008F0493"/>
    <w:rsid w:val="008F4322"/>
    <w:rsid w:val="008F5549"/>
    <w:rsid w:val="0090078E"/>
    <w:rsid w:val="00901095"/>
    <w:rsid w:val="00904715"/>
    <w:rsid w:val="00905D9E"/>
    <w:rsid w:val="0090720C"/>
    <w:rsid w:val="009076BE"/>
    <w:rsid w:val="00907873"/>
    <w:rsid w:val="0091346D"/>
    <w:rsid w:val="00913C68"/>
    <w:rsid w:val="00916B4F"/>
    <w:rsid w:val="00927F20"/>
    <w:rsid w:val="00936474"/>
    <w:rsid w:val="0094083A"/>
    <w:rsid w:val="0094221C"/>
    <w:rsid w:val="00943596"/>
    <w:rsid w:val="00944329"/>
    <w:rsid w:val="00944AC5"/>
    <w:rsid w:val="00945674"/>
    <w:rsid w:val="009537EE"/>
    <w:rsid w:val="009553FF"/>
    <w:rsid w:val="00956972"/>
    <w:rsid w:val="00962EB9"/>
    <w:rsid w:val="009707EB"/>
    <w:rsid w:val="009747B7"/>
    <w:rsid w:val="00976775"/>
    <w:rsid w:val="00977F3F"/>
    <w:rsid w:val="00982E1E"/>
    <w:rsid w:val="00986032"/>
    <w:rsid w:val="009915A5"/>
    <w:rsid w:val="0099669C"/>
    <w:rsid w:val="009A2E79"/>
    <w:rsid w:val="009A6210"/>
    <w:rsid w:val="009B1AC5"/>
    <w:rsid w:val="009B3D43"/>
    <w:rsid w:val="009B3ECE"/>
    <w:rsid w:val="009C0738"/>
    <w:rsid w:val="009C378F"/>
    <w:rsid w:val="009C56C7"/>
    <w:rsid w:val="009C7C3F"/>
    <w:rsid w:val="009C7DF8"/>
    <w:rsid w:val="009D77AD"/>
    <w:rsid w:val="009E3352"/>
    <w:rsid w:val="009F2092"/>
    <w:rsid w:val="009F2571"/>
    <w:rsid w:val="009F28CB"/>
    <w:rsid w:val="009F5D82"/>
    <w:rsid w:val="009F7C64"/>
    <w:rsid w:val="00A036CA"/>
    <w:rsid w:val="00A050E1"/>
    <w:rsid w:val="00A07496"/>
    <w:rsid w:val="00A07BA0"/>
    <w:rsid w:val="00A159A9"/>
    <w:rsid w:val="00A15E65"/>
    <w:rsid w:val="00A21073"/>
    <w:rsid w:val="00A2266F"/>
    <w:rsid w:val="00A240E3"/>
    <w:rsid w:val="00A259CB"/>
    <w:rsid w:val="00A278B3"/>
    <w:rsid w:val="00A33A73"/>
    <w:rsid w:val="00A44467"/>
    <w:rsid w:val="00A445C3"/>
    <w:rsid w:val="00A45EA7"/>
    <w:rsid w:val="00A52F4A"/>
    <w:rsid w:val="00A56038"/>
    <w:rsid w:val="00A60DA3"/>
    <w:rsid w:val="00A61438"/>
    <w:rsid w:val="00A644C7"/>
    <w:rsid w:val="00A66760"/>
    <w:rsid w:val="00A6719A"/>
    <w:rsid w:val="00A67259"/>
    <w:rsid w:val="00A70B77"/>
    <w:rsid w:val="00A77344"/>
    <w:rsid w:val="00A77652"/>
    <w:rsid w:val="00A77E3B"/>
    <w:rsid w:val="00A8440C"/>
    <w:rsid w:val="00A8485A"/>
    <w:rsid w:val="00A87C0F"/>
    <w:rsid w:val="00A90435"/>
    <w:rsid w:val="00A905BF"/>
    <w:rsid w:val="00A93129"/>
    <w:rsid w:val="00A93478"/>
    <w:rsid w:val="00AA2F36"/>
    <w:rsid w:val="00AA50E7"/>
    <w:rsid w:val="00AB0887"/>
    <w:rsid w:val="00AB0AC3"/>
    <w:rsid w:val="00AB31BD"/>
    <w:rsid w:val="00AB7E69"/>
    <w:rsid w:val="00AC22BE"/>
    <w:rsid w:val="00AC7937"/>
    <w:rsid w:val="00AD0BB8"/>
    <w:rsid w:val="00AD3BCA"/>
    <w:rsid w:val="00AE0BAA"/>
    <w:rsid w:val="00AE2A14"/>
    <w:rsid w:val="00AE7BD1"/>
    <w:rsid w:val="00AF1A4A"/>
    <w:rsid w:val="00AF2EA0"/>
    <w:rsid w:val="00AF58E1"/>
    <w:rsid w:val="00B00F25"/>
    <w:rsid w:val="00B01747"/>
    <w:rsid w:val="00B03C2D"/>
    <w:rsid w:val="00B0693F"/>
    <w:rsid w:val="00B15111"/>
    <w:rsid w:val="00B16F39"/>
    <w:rsid w:val="00B219F5"/>
    <w:rsid w:val="00B25545"/>
    <w:rsid w:val="00B2623F"/>
    <w:rsid w:val="00B27AA1"/>
    <w:rsid w:val="00B33330"/>
    <w:rsid w:val="00B3764C"/>
    <w:rsid w:val="00B37D56"/>
    <w:rsid w:val="00B400A9"/>
    <w:rsid w:val="00B43643"/>
    <w:rsid w:val="00B44A60"/>
    <w:rsid w:val="00B46A53"/>
    <w:rsid w:val="00B534AD"/>
    <w:rsid w:val="00B56481"/>
    <w:rsid w:val="00B61431"/>
    <w:rsid w:val="00B61686"/>
    <w:rsid w:val="00B61749"/>
    <w:rsid w:val="00B6684A"/>
    <w:rsid w:val="00B735B7"/>
    <w:rsid w:val="00B75940"/>
    <w:rsid w:val="00B77CE8"/>
    <w:rsid w:val="00B805F5"/>
    <w:rsid w:val="00B8740E"/>
    <w:rsid w:val="00B926F2"/>
    <w:rsid w:val="00B93114"/>
    <w:rsid w:val="00BA0A18"/>
    <w:rsid w:val="00BA0A54"/>
    <w:rsid w:val="00BA4558"/>
    <w:rsid w:val="00BC7C21"/>
    <w:rsid w:val="00BD09A3"/>
    <w:rsid w:val="00BD1224"/>
    <w:rsid w:val="00BD2F7E"/>
    <w:rsid w:val="00BD6F95"/>
    <w:rsid w:val="00BD7B03"/>
    <w:rsid w:val="00BD7BFA"/>
    <w:rsid w:val="00BE369E"/>
    <w:rsid w:val="00BF2C3A"/>
    <w:rsid w:val="00BF7E57"/>
    <w:rsid w:val="00C066D5"/>
    <w:rsid w:val="00C14F75"/>
    <w:rsid w:val="00C173D5"/>
    <w:rsid w:val="00C2250E"/>
    <w:rsid w:val="00C259EE"/>
    <w:rsid w:val="00C362F5"/>
    <w:rsid w:val="00C3672A"/>
    <w:rsid w:val="00C36D0B"/>
    <w:rsid w:val="00C378A1"/>
    <w:rsid w:val="00C434BF"/>
    <w:rsid w:val="00C45F9B"/>
    <w:rsid w:val="00C507E9"/>
    <w:rsid w:val="00C54086"/>
    <w:rsid w:val="00C54888"/>
    <w:rsid w:val="00C559DA"/>
    <w:rsid w:val="00C561FB"/>
    <w:rsid w:val="00C6698B"/>
    <w:rsid w:val="00C711CA"/>
    <w:rsid w:val="00C7722C"/>
    <w:rsid w:val="00C80A26"/>
    <w:rsid w:val="00C83BBE"/>
    <w:rsid w:val="00C86CEC"/>
    <w:rsid w:val="00C90AC0"/>
    <w:rsid w:val="00C95244"/>
    <w:rsid w:val="00C97EC2"/>
    <w:rsid w:val="00CA1EC3"/>
    <w:rsid w:val="00CA4562"/>
    <w:rsid w:val="00CA4F56"/>
    <w:rsid w:val="00CB03A0"/>
    <w:rsid w:val="00CB0D0D"/>
    <w:rsid w:val="00CB50C7"/>
    <w:rsid w:val="00CB5600"/>
    <w:rsid w:val="00CB5DB5"/>
    <w:rsid w:val="00CB641F"/>
    <w:rsid w:val="00CB7819"/>
    <w:rsid w:val="00CC50D4"/>
    <w:rsid w:val="00CC53A9"/>
    <w:rsid w:val="00CD0794"/>
    <w:rsid w:val="00CD17CA"/>
    <w:rsid w:val="00CD3171"/>
    <w:rsid w:val="00CD5DCB"/>
    <w:rsid w:val="00CD7D24"/>
    <w:rsid w:val="00CE11C5"/>
    <w:rsid w:val="00CE1F9D"/>
    <w:rsid w:val="00CE24E4"/>
    <w:rsid w:val="00CE34C8"/>
    <w:rsid w:val="00CF25BA"/>
    <w:rsid w:val="00CF28D9"/>
    <w:rsid w:val="00CF40EF"/>
    <w:rsid w:val="00D017F1"/>
    <w:rsid w:val="00D02516"/>
    <w:rsid w:val="00D04347"/>
    <w:rsid w:val="00D06F85"/>
    <w:rsid w:val="00D071F3"/>
    <w:rsid w:val="00D10EA2"/>
    <w:rsid w:val="00D1594F"/>
    <w:rsid w:val="00D21078"/>
    <w:rsid w:val="00D26051"/>
    <w:rsid w:val="00D2616E"/>
    <w:rsid w:val="00D30049"/>
    <w:rsid w:val="00D3154C"/>
    <w:rsid w:val="00D33BBE"/>
    <w:rsid w:val="00D34960"/>
    <w:rsid w:val="00D41319"/>
    <w:rsid w:val="00D445B5"/>
    <w:rsid w:val="00D47412"/>
    <w:rsid w:val="00D53C41"/>
    <w:rsid w:val="00D547EA"/>
    <w:rsid w:val="00D624D3"/>
    <w:rsid w:val="00D64D91"/>
    <w:rsid w:val="00D65DB1"/>
    <w:rsid w:val="00D779CD"/>
    <w:rsid w:val="00D851AF"/>
    <w:rsid w:val="00D85BFE"/>
    <w:rsid w:val="00D869FC"/>
    <w:rsid w:val="00D87EA9"/>
    <w:rsid w:val="00D90E7F"/>
    <w:rsid w:val="00DA0E8A"/>
    <w:rsid w:val="00DB00EB"/>
    <w:rsid w:val="00DB272E"/>
    <w:rsid w:val="00DB4993"/>
    <w:rsid w:val="00DB59C7"/>
    <w:rsid w:val="00DC0998"/>
    <w:rsid w:val="00DC0A9E"/>
    <w:rsid w:val="00DC6C3E"/>
    <w:rsid w:val="00DC7E1E"/>
    <w:rsid w:val="00DD1350"/>
    <w:rsid w:val="00DD34ED"/>
    <w:rsid w:val="00DD5F13"/>
    <w:rsid w:val="00DD692C"/>
    <w:rsid w:val="00DE40F4"/>
    <w:rsid w:val="00DE4DB8"/>
    <w:rsid w:val="00DE76C4"/>
    <w:rsid w:val="00DF3296"/>
    <w:rsid w:val="00E03FE2"/>
    <w:rsid w:val="00E15025"/>
    <w:rsid w:val="00E212F6"/>
    <w:rsid w:val="00E22549"/>
    <w:rsid w:val="00E22B16"/>
    <w:rsid w:val="00E269FE"/>
    <w:rsid w:val="00E2738A"/>
    <w:rsid w:val="00E274AE"/>
    <w:rsid w:val="00E3513C"/>
    <w:rsid w:val="00E3632F"/>
    <w:rsid w:val="00E3786D"/>
    <w:rsid w:val="00E37F89"/>
    <w:rsid w:val="00E4413D"/>
    <w:rsid w:val="00E52324"/>
    <w:rsid w:val="00E52D8C"/>
    <w:rsid w:val="00E60738"/>
    <w:rsid w:val="00E7075C"/>
    <w:rsid w:val="00E710B4"/>
    <w:rsid w:val="00E75141"/>
    <w:rsid w:val="00E76BA0"/>
    <w:rsid w:val="00E772D5"/>
    <w:rsid w:val="00E773D3"/>
    <w:rsid w:val="00E8021E"/>
    <w:rsid w:val="00E80A18"/>
    <w:rsid w:val="00E81E62"/>
    <w:rsid w:val="00E830CE"/>
    <w:rsid w:val="00E871B4"/>
    <w:rsid w:val="00E92DF7"/>
    <w:rsid w:val="00E96D04"/>
    <w:rsid w:val="00EA1A9E"/>
    <w:rsid w:val="00EA360E"/>
    <w:rsid w:val="00EB21C9"/>
    <w:rsid w:val="00EB25B2"/>
    <w:rsid w:val="00EB5327"/>
    <w:rsid w:val="00ED0B12"/>
    <w:rsid w:val="00ED4973"/>
    <w:rsid w:val="00ED7D94"/>
    <w:rsid w:val="00EE1078"/>
    <w:rsid w:val="00EE116F"/>
    <w:rsid w:val="00EE3289"/>
    <w:rsid w:val="00EE7186"/>
    <w:rsid w:val="00EF0AFD"/>
    <w:rsid w:val="00EF4A05"/>
    <w:rsid w:val="00EF5889"/>
    <w:rsid w:val="00EF64E4"/>
    <w:rsid w:val="00EF702C"/>
    <w:rsid w:val="00F04C02"/>
    <w:rsid w:val="00F05316"/>
    <w:rsid w:val="00F06C8E"/>
    <w:rsid w:val="00F10E5E"/>
    <w:rsid w:val="00F15DF2"/>
    <w:rsid w:val="00F24F61"/>
    <w:rsid w:val="00F25AC5"/>
    <w:rsid w:val="00F36031"/>
    <w:rsid w:val="00F404F2"/>
    <w:rsid w:val="00F40F6E"/>
    <w:rsid w:val="00F418F0"/>
    <w:rsid w:val="00F430E0"/>
    <w:rsid w:val="00F56F0F"/>
    <w:rsid w:val="00F574B2"/>
    <w:rsid w:val="00F57BAF"/>
    <w:rsid w:val="00F612EA"/>
    <w:rsid w:val="00F6395F"/>
    <w:rsid w:val="00F66075"/>
    <w:rsid w:val="00F73A5C"/>
    <w:rsid w:val="00F74026"/>
    <w:rsid w:val="00F7704E"/>
    <w:rsid w:val="00F83E7D"/>
    <w:rsid w:val="00F83FA8"/>
    <w:rsid w:val="00F9442F"/>
    <w:rsid w:val="00FA0296"/>
    <w:rsid w:val="00FA0A87"/>
    <w:rsid w:val="00FA3A6A"/>
    <w:rsid w:val="00FB48B0"/>
    <w:rsid w:val="00FB4F79"/>
    <w:rsid w:val="00FB5C66"/>
    <w:rsid w:val="00FB5F87"/>
    <w:rsid w:val="00FB6FFB"/>
    <w:rsid w:val="00FB7354"/>
    <w:rsid w:val="00FC3C86"/>
    <w:rsid w:val="00FC7013"/>
    <w:rsid w:val="00FD0448"/>
    <w:rsid w:val="00FD39C3"/>
    <w:rsid w:val="00FD3FE0"/>
    <w:rsid w:val="00FD57E5"/>
    <w:rsid w:val="00FE1BC6"/>
    <w:rsid w:val="00FE207A"/>
    <w:rsid w:val="00FE332D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912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91286"/>
    <w:rPr>
      <w:rFonts w:cs="Times New Roman"/>
      <w:b/>
      <w:bCs/>
      <w:kern w:val="44"/>
      <w:sz w:val="44"/>
      <w:szCs w:val="44"/>
    </w:rPr>
  </w:style>
  <w:style w:type="paragraph" w:customStyle="1" w:styleId="Default">
    <w:name w:val="Default"/>
    <w:uiPriority w:val="99"/>
    <w:rsid w:val="00A560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E34C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C0A9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C0A9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767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76715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9747B7"/>
    <w:rPr>
      <w:rFonts w:cs="Times New Roman"/>
    </w:rPr>
  </w:style>
  <w:style w:type="table" w:styleId="a8">
    <w:name w:val="Table Grid"/>
    <w:basedOn w:val="a1"/>
    <w:locked/>
    <w:rsid w:val="00B3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912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91286"/>
    <w:rPr>
      <w:rFonts w:cs="Times New Roman"/>
      <w:b/>
      <w:bCs/>
      <w:kern w:val="44"/>
      <w:sz w:val="44"/>
      <w:szCs w:val="44"/>
    </w:rPr>
  </w:style>
  <w:style w:type="paragraph" w:customStyle="1" w:styleId="Default">
    <w:name w:val="Default"/>
    <w:uiPriority w:val="99"/>
    <w:rsid w:val="00A560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E34C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C0A9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C0A9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767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76715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9747B7"/>
    <w:rPr>
      <w:rFonts w:cs="Times New Roman"/>
    </w:rPr>
  </w:style>
  <w:style w:type="table" w:styleId="a8">
    <w:name w:val="Table Grid"/>
    <w:basedOn w:val="a1"/>
    <w:locked/>
    <w:rsid w:val="00B3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905</Words>
  <Characters>5165</Characters>
  <Application>Microsoft Office Word</Application>
  <DocSecurity>0</DocSecurity>
  <Lines>43</Lines>
  <Paragraphs>12</Paragraphs>
  <ScaleCrop>false</ScaleCrop>
  <Company>.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CWC-WY</cp:lastModifiedBy>
  <cp:revision>53</cp:revision>
  <cp:lastPrinted>2015-04-30T01:04:00Z</cp:lastPrinted>
  <dcterms:created xsi:type="dcterms:W3CDTF">2018-04-10T00:53:00Z</dcterms:created>
  <dcterms:modified xsi:type="dcterms:W3CDTF">2018-04-11T07:11:00Z</dcterms:modified>
</cp:coreProperties>
</file>