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8AE" w:rsidRDefault="00E158AE" w:rsidP="00E158AE">
      <w:pPr>
        <w:rPr>
          <w:color w:val="000000"/>
        </w:rPr>
      </w:pPr>
    </w:p>
    <w:p w:rsidR="00E158AE" w:rsidRDefault="00E158AE" w:rsidP="00E158AE">
      <w:pPr>
        <w:rPr>
          <w:color w:val="000000"/>
        </w:rPr>
      </w:pPr>
    </w:p>
    <w:p w:rsidR="00E158AE" w:rsidRDefault="00E158AE" w:rsidP="00E158AE">
      <w:pPr>
        <w:rPr>
          <w:color w:val="000000"/>
        </w:rPr>
      </w:pPr>
    </w:p>
    <w:p w:rsidR="00E158AE" w:rsidRDefault="00E158AE" w:rsidP="00E158AE">
      <w:pPr>
        <w:pStyle w:val="Heading2"/>
        <w:spacing w:before="156"/>
      </w:pPr>
      <w:bookmarkStart w:id="0" w:name="_Toc339824604"/>
      <w:bookmarkStart w:id="1" w:name="_Toc339568413"/>
      <w:bookmarkStart w:id="2" w:name="_Toc339389063"/>
      <w:bookmarkStart w:id="3" w:name="_Toc339302229"/>
      <w:bookmarkStart w:id="4" w:name="_Toc339119133"/>
      <w:bookmarkStart w:id="5" w:name="_Toc339119090"/>
      <w:bookmarkStart w:id="6" w:name="_Toc339118945"/>
      <w:r>
        <w:rPr>
          <w:noProof/>
        </w:rPr>
        <w:drawing>
          <wp:inline distT="0" distB="0" distL="0" distR="0" wp14:anchorId="15E4E51A" wp14:editId="0935D384">
            <wp:extent cx="3429000" cy="1000125"/>
            <wp:effectExtent l="0" t="0" r="0" b="9525"/>
            <wp:docPr id="1" name="Picture 1" descr="DRAW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RAW0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1000125"/>
                    </a:xfrm>
                    <a:prstGeom prst="rect">
                      <a:avLst/>
                    </a:prstGeom>
                    <a:noFill/>
                    <a:ln>
                      <a:noFill/>
                    </a:ln>
                  </pic:spPr>
                </pic:pic>
              </a:graphicData>
            </a:graphic>
          </wp:inline>
        </w:drawing>
      </w:r>
      <w:bookmarkEnd w:id="0"/>
      <w:bookmarkEnd w:id="1"/>
      <w:bookmarkEnd w:id="2"/>
      <w:bookmarkEnd w:id="3"/>
      <w:bookmarkEnd w:id="4"/>
      <w:bookmarkEnd w:id="5"/>
      <w:bookmarkEnd w:id="6"/>
    </w:p>
    <w:p w:rsidR="00E158AE" w:rsidRDefault="00E158AE" w:rsidP="00E158AE">
      <w:pPr>
        <w:rPr>
          <w:rFonts w:hint="eastAsia"/>
          <w:color w:val="000000"/>
        </w:rPr>
      </w:pPr>
    </w:p>
    <w:p w:rsidR="00E158AE" w:rsidRDefault="00E158AE" w:rsidP="00E158AE">
      <w:pPr>
        <w:pStyle w:val="Heading2"/>
        <w:spacing w:before="156"/>
      </w:pPr>
      <w:bookmarkStart w:id="7" w:name="_Toc339824605"/>
      <w:bookmarkStart w:id="8" w:name="_Toc339568414"/>
      <w:bookmarkStart w:id="9" w:name="_Toc339389064"/>
      <w:bookmarkStart w:id="10" w:name="_Toc339302230"/>
      <w:bookmarkStart w:id="11" w:name="_Toc339119134"/>
      <w:bookmarkStart w:id="12" w:name="_Toc339118946"/>
      <w:r>
        <w:rPr>
          <w:rFonts w:hint="eastAsia"/>
        </w:rPr>
        <w:t>2012年本科教学质量报告</w:t>
      </w:r>
      <w:bookmarkEnd w:id="7"/>
      <w:bookmarkEnd w:id="8"/>
      <w:bookmarkEnd w:id="9"/>
      <w:bookmarkEnd w:id="10"/>
      <w:bookmarkEnd w:id="11"/>
      <w:bookmarkEnd w:id="12"/>
    </w:p>
    <w:p w:rsidR="00E158AE" w:rsidRDefault="00E158AE" w:rsidP="00E158AE">
      <w:pPr>
        <w:pStyle w:val="Heading2"/>
        <w:spacing w:before="156"/>
        <w:rPr>
          <w:rFonts w:hint="eastAsia"/>
        </w:rPr>
      </w:pPr>
    </w:p>
    <w:p w:rsidR="00E158AE" w:rsidRDefault="00E158AE" w:rsidP="00E158AE">
      <w:pPr>
        <w:pStyle w:val="Heading2"/>
        <w:spacing w:before="156"/>
        <w:rPr>
          <w:rFonts w:ascii="黑体" w:eastAsia="黑体" w:hint="eastAsia"/>
          <w:sz w:val="66"/>
          <w:szCs w:val="72"/>
        </w:rPr>
      </w:pPr>
      <w:r>
        <w:rPr>
          <w:rFonts w:hint="eastAsia"/>
          <w:noProof/>
        </w:rPr>
        <w:drawing>
          <wp:anchor distT="0" distB="0" distL="114300" distR="114300" simplePos="0" relativeHeight="251658240" behindDoc="0" locked="0" layoutInCell="1" allowOverlap="1" wp14:anchorId="710023DA" wp14:editId="2D6C452D">
            <wp:simplePos x="0" y="0"/>
            <wp:positionH relativeFrom="column">
              <wp:posOffset>1246505</wp:posOffset>
            </wp:positionH>
            <wp:positionV relativeFrom="paragraph">
              <wp:posOffset>198120</wp:posOffset>
            </wp:positionV>
            <wp:extent cx="2639695" cy="2674620"/>
            <wp:effectExtent l="0" t="0" r="8255" b="0"/>
            <wp:wrapNone/>
            <wp:docPr id="2" name="Picture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1"/>
                    <pic:cNvPicPr>
                      <a:picLocks noChangeAspect="1" noChangeArrowheads="1"/>
                    </pic:cNvPicPr>
                  </pic:nvPicPr>
                  <pic:blipFill>
                    <a:blip r:embed="rId5">
                      <a:extLst>
                        <a:ext uri="{28A0092B-C50C-407E-A947-70E740481C1C}">
                          <a14:useLocalDpi xmlns:a14="http://schemas.microsoft.com/office/drawing/2010/main" val="0"/>
                        </a:ext>
                      </a:extLst>
                    </a:blip>
                    <a:srcRect l="11601" t="11261" r="52504" b="43416"/>
                    <a:stretch>
                      <a:fillRect/>
                    </a:stretch>
                  </pic:blipFill>
                  <pic:spPr bwMode="auto">
                    <a:xfrm>
                      <a:off x="0" y="0"/>
                      <a:ext cx="2639695" cy="2674620"/>
                    </a:xfrm>
                    <a:prstGeom prst="rect">
                      <a:avLst/>
                    </a:prstGeom>
                    <a:noFill/>
                  </pic:spPr>
                </pic:pic>
              </a:graphicData>
            </a:graphic>
            <wp14:sizeRelH relativeFrom="page">
              <wp14:pctWidth>0</wp14:pctWidth>
            </wp14:sizeRelH>
            <wp14:sizeRelV relativeFrom="page">
              <wp14:pctHeight>0</wp14:pctHeight>
            </wp14:sizeRelV>
          </wp:anchor>
        </w:drawing>
      </w:r>
      <w:bookmarkStart w:id="13" w:name="_Toc339824606"/>
      <w:bookmarkStart w:id="14" w:name="_Toc339568415"/>
      <w:bookmarkStart w:id="15" w:name="_Toc339389065"/>
      <w:bookmarkStart w:id="16" w:name="_Toc339302231"/>
      <w:bookmarkStart w:id="17" w:name="_Toc339119135"/>
      <w:bookmarkStart w:id="18" w:name="_Toc339119092"/>
      <w:bookmarkStart w:id="19" w:name="_Toc339119002"/>
      <w:bookmarkStart w:id="20" w:name="_Toc339118947"/>
      <w:bookmarkEnd w:id="13"/>
      <w:bookmarkEnd w:id="14"/>
      <w:bookmarkEnd w:id="15"/>
      <w:bookmarkEnd w:id="16"/>
      <w:bookmarkEnd w:id="17"/>
      <w:bookmarkEnd w:id="18"/>
      <w:bookmarkEnd w:id="19"/>
      <w:bookmarkEnd w:id="20"/>
    </w:p>
    <w:p w:rsidR="00E158AE" w:rsidRDefault="00E158AE" w:rsidP="00E158AE">
      <w:pPr>
        <w:pStyle w:val="Heading2"/>
        <w:spacing w:before="156"/>
        <w:rPr>
          <w:rFonts w:hint="eastAsia"/>
        </w:rPr>
      </w:pPr>
    </w:p>
    <w:p w:rsidR="00E158AE" w:rsidRDefault="00E158AE" w:rsidP="00E158AE">
      <w:pPr>
        <w:rPr>
          <w:rFonts w:hint="eastAsia"/>
          <w:color w:val="000000"/>
        </w:rPr>
      </w:pPr>
    </w:p>
    <w:p w:rsidR="00E158AE" w:rsidRDefault="00E158AE" w:rsidP="00E158AE">
      <w:pPr>
        <w:rPr>
          <w:color w:val="000000"/>
        </w:rPr>
      </w:pPr>
    </w:p>
    <w:p w:rsidR="00E158AE" w:rsidRDefault="00E158AE" w:rsidP="00E158AE">
      <w:pPr>
        <w:rPr>
          <w:color w:val="000000"/>
        </w:rPr>
      </w:pPr>
    </w:p>
    <w:p w:rsidR="00E158AE" w:rsidRDefault="00E158AE" w:rsidP="00E158AE">
      <w:pPr>
        <w:rPr>
          <w:color w:val="000000"/>
        </w:rPr>
      </w:pPr>
    </w:p>
    <w:p w:rsidR="00E158AE" w:rsidRDefault="00E158AE" w:rsidP="00E158AE">
      <w:pPr>
        <w:rPr>
          <w:color w:val="000000"/>
        </w:rPr>
      </w:pPr>
    </w:p>
    <w:p w:rsidR="00E158AE" w:rsidRDefault="00E158AE" w:rsidP="00E158AE">
      <w:pPr>
        <w:rPr>
          <w:color w:val="000000"/>
        </w:rPr>
      </w:pPr>
    </w:p>
    <w:p w:rsidR="00E158AE" w:rsidRDefault="00E158AE" w:rsidP="00E158AE">
      <w:pPr>
        <w:rPr>
          <w:color w:val="000000"/>
        </w:rPr>
      </w:pPr>
    </w:p>
    <w:p w:rsidR="00E158AE" w:rsidRDefault="00E158AE" w:rsidP="00E158AE">
      <w:pPr>
        <w:rPr>
          <w:color w:val="000000"/>
        </w:rPr>
      </w:pPr>
    </w:p>
    <w:p w:rsidR="00E158AE" w:rsidRDefault="00E158AE" w:rsidP="00E158AE">
      <w:pPr>
        <w:rPr>
          <w:color w:val="000000"/>
        </w:rPr>
      </w:pPr>
    </w:p>
    <w:p w:rsidR="00E158AE" w:rsidRDefault="00E158AE" w:rsidP="00E158AE">
      <w:pPr>
        <w:rPr>
          <w:color w:val="000000"/>
        </w:rPr>
      </w:pPr>
    </w:p>
    <w:p w:rsidR="00E158AE" w:rsidRDefault="00E158AE" w:rsidP="00E158AE">
      <w:pPr>
        <w:rPr>
          <w:color w:val="000000"/>
        </w:rPr>
      </w:pPr>
    </w:p>
    <w:p w:rsidR="00E158AE" w:rsidRDefault="00E158AE" w:rsidP="00E158AE">
      <w:pPr>
        <w:rPr>
          <w:color w:val="000000"/>
        </w:rPr>
      </w:pPr>
    </w:p>
    <w:p w:rsidR="00E158AE" w:rsidRDefault="00E158AE" w:rsidP="00E158AE">
      <w:pPr>
        <w:rPr>
          <w:color w:val="000000"/>
        </w:rPr>
      </w:pPr>
    </w:p>
    <w:p w:rsidR="00E158AE" w:rsidRDefault="00E158AE" w:rsidP="00E158AE">
      <w:pPr>
        <w:rPr>
          <w:color w:val="000000"/>
        </w:rPr>
      </w:pPr>
    </w:p>
    <w:p w:rsidR="00E158AE" w:rsidRDefault="00E158AE" w:rsidP="00E158AE">
      <w:pPr>
        <w:jc w:val="center"/>
        <w:rPr>
          <w:rFonts w:ascii="黑体" w:eastAsia="黑体"/>
          <w:color w:val="000000"/>
          <w:sz w:val="34"/>
          <w:szCs w:val="30"/>
        </w:rPr>
      </w:pPr>
    </w:p>
    <w:p w:rsidR="00E158AE" w:rsidRDefault="00E158AE" w:rsidP="00E158AE">
      <w:pPr>
        <w:jc w:val="center"/>
        <w:rPr>
          <w:rFonts w:ascii="黑体" w:eastAsia="黑体" w:hint="eastAsia"/>
          <w:color w:val="000000"/>
          <w:sz w:val="34"/>
          <w:szCs w:val="30"/>
        </w:rPr>
      </w:pPr>
      <w:r>
        <w:rPr>
          <w:rFonts w:ascii="黑体" w:eastAsia="黑体" w:hint="eastAsia"/>
          <w:color w:val="000000"/>
          <w:sz w:val="34"/>
          <w:szCs w:val="30"/>
        </w:rPr>
        <w:t>二〇一三年十二月</w:t>
      </w:r>
    </w:p>
    <w:p w:rsidR="00E158AE" w:rsidRDefault="00E158AE" w:rsidP="00E158AE">
      <w:pPr>
        <w:pStyle w:val="Heading2"/>
        <w:spacing w:before="156"/>
        <w:rPr>
          <w:rFonts w:hint="eastAsia"/>
        </w:rPr>
      </w:pPr>
    </w:p>
    <w:p w:rsidR="00E158AE" w:rsidRDefault="00E158AE" w:rsidP="00E158AE">
      <w:pPr>
        <w:pStyle w:val="Heading2"/>
        <w:spacing w:before="156"/>
        <w:rPr>
          <w:rFonts w:hint="eastAsia"/>
        </w:rPr>
      </w:pPr>
      <w:r>
        <w:rPr>
          <w:rFonts w:hint="eastAsia"/>
          <w:b w:val="0"/>
          <w:bCs w:val="0"/>
          <w:kern w:val="0"/>
          <w:sz w:val="30"/>
        </w:rPr>
        <w:br w:type="page"/>
      </w:r>
      <w:bookmarkStart w:id="21" w:name="_Toc339824607"/>
      <w:bookmarkStart w:id="22" w:name="_Toc339568416"/>
      <w:bookmarkStart w:id="23" w:name="_Toc339389066"/>
      <w:bookmarkStart w:id="24" w:name="_Toc339302232"/>
      <w:bookmarkStart w:id="25" w:name="_Toc339118948"/>
      <w:r>
        <w:rPr>
          <w:rFonts w:hint="eastAsia"/>
        </w:rPr>
        <w:lastRenderedPageBreak/>
        <w:t>目  录</w:t>
      </w:r>
      <w:bookmarkEnd w:id="21"/>
      <w:bookmarkEnd w:id="22"/>
      <w:bookmarkEnd w:id="23"/>
      <w:bookmarkEnd w:id="24"/>
      <w:bookmarkEnd w:id="25"/>
    </w:p>
    <w:p w:rsidR="00E158AE" w:rsidRDefault="00E158AE" w:rsidP="00E158AE">
      <w:pPr>
        <w:pStyle w:val="TOC2"/>
        <w:tabs>
          <w:tab w:val="right" w:leader="dot" w:pos="8296"/>
        </w:tabs>
        <w:rPr>
          <w:rStyle w:val="Hyperlink"/>
          <w:rFonts w:hint="eastAsia"/>
          <w:b/>
          <w:noProof/>
          <w:color w:val="000000"/>
        </w:rPr>
      </w:pPr>
      <w:r>
        <w:rPr>
          <w:rFonts w:ascii="黑体" w:eastAsia="仿宋_GB2312" w:hint="eastAsia"/>
          <w:color w:val="000000"/>
          <w:sz w:val="28"/>
          <w:szCs w:val="30"/>
        </w:rPr>
        <w:fldChar w:fldCharType="begin"/>
      </w:r>
      <w:r>
        <w:rPr>
          <w:rFonts w:ascii="黑体" w:eastAsia="仿宋_GB2312" w:hint="eastAsia"/>
          <w:color w:val="000000"/>
          <w:sz w:val="28"/>
          <w:szCs w:val="30"/>
        </w:rPr>
        <w:instrText xml:space="preserve"> TOC \o "1-3" \h \z \u </w:instrText>
      </w:r>
      <w:r>
        <w:rPr>
          <w:rFonts w:ascii="黑体" w:eastAsia="仿宋_GB2312"/>
          <w:color w:val="000000"/>
          <w:sz w:val="28"/>
          <w:szCs w:val="30"/>
        </w:rPr>
        <w:fldChar w:fldCharType="separate"/>
      </w:r>
      <w:hyperlink r:id="rId6" w:anchor="_Toc339824608" w:history="1">
        <w:r>
          <w:rPr>
            <w:rStyle w:val="Hyperlink"/>
            <w:rFonts w:hint="eastAsia"/>
            <w:b/>
            <w:noProof/>
            <w:color w:val="000000"/>
            <w:sz w:val="28"/>
          </w:rPr>
          <w:t>学校概况</w:t>
        </w:r>
        <w:r>
          <w:rPr>
            <w:rStyle w:val="Hyperlink"/>
            <w:b/>
            <w:noProof/>
            <w:webHidden/>
            <w:color w:val="000000"/>
          </w:rPr>
          <w:tab/>
        </w:r>
        <w:r>
          <w:rPr>
            <w:rStyle w:val="Hyperlink"/>
            <w:b/>
            <w:noProof/>
            <w:webHidden/>
            <w:color w:val="000000"/>
          </w:rPr>
          <w:fldChar w:fldCharType="begin"/>
        </w:r>
        <w:r>
          <w:rPr>
            <w:rStyle w:val="Hyperlink"/>
            <w:b/>
            <w:noProof/>
            <w:webHidden/>
            <w:color w:val="000000"/>
          </w:rPr>
          <w:instrText xml:space="preserve"> PAGEREF _Toc339824608 \h </w:instrText>
        </w:r>
        <w:r>
          <w:rPr>
            <w:rStyle w:val="Hyperlink"/>
            <w:b/>
            <w:noProof/>
            <w:webHidden/>
            <w:color w:val="000000"/>
          </w:rPr>
        </w:r>
        <w:r>
          <w:rPr>
            <w:rStyle w:val="Hyperlink"/>
            <w:b/>
            <w:noProof/>
            <w:webHidden/>
            <w:color w:val="000000"/>
          </w:rPr>
          <w:fldChar w:fldCharType="separate"/>
        </w:r>
        <w:r>
          <w:rPr>
            <w:rStyle w:val="Hyperlink"/>
            <w:b/>
            <w:noProof/>
            <w:webHidden/>
            <w:color w:val="000000"/>
          </w:rPr>
          <w:t>1</w:t>
        </w:r>
        <w:r>
          <w:rPr>
            <w:rStyle w:val="Hyperlink"/>
            <w:b/>
            <w:noProof/>
            <w:webHidden/>
            <w:color w:val="000000"/>
          </w:rPr>
          <w:fldChar w:fldCharType="end"/>
        </w:r>
      </w:hyperlink>
    </w:p>
    <w:p w:rsidR="00E158AE" w:rsidRDefault="00E158AE" w:rsidP="00E158AE">
      <w:pPr>
        <w:pStyle w:val="TOC2"/>
        <w:tabs>
          <w:tab w:val="right" w:leader="dot" w:pos="8296"/>
        </w:tabs>
        <w:rPr>
          <w:rFonts w:eastAsia="仿宋_GB2312"/>
          <w:sz w:val="28"/>
        </w:rPr>
      </w:pPr>
      <w:hyperlink r:id="rId7" w:anchor="_Toc339824609" w:history="1">
        <w:r>
          <w:rPr>
            <w:rStyle w:val="Hyperlink"/>
            <w:rFonts w:hint="eastAsia"/>
            <w:b/>
            <w:noProof/>
            <w:color w:val="000000"/>
            <w:sz w:val="28"/>
          </w:rPr>
          <w:t>第一部分</w:t>
        </w:r>
        <w:r>
          <w:rPr>
            <w:rStyle w:val="Hyperlink"/>
            <w:b/>
            <w:noProof/>
            <w:color w:val="000000"/>
            <w:sz w:val="28"/>
          </w:rPr>
          <w:t xml:space="preserve"> </w:t>
        </w:r>
        <w:r>
          <w:rPr>
            <w:rStyle w:val="Hyperlink"/>
            <w:rFonts w:hint="eastAsia"/>
            <w:b/>
            <w:noProof/>
            <w:color w:val="000000"/>
            <w:sz w:val="28"/>
          </w:rPr>
          <w:t>本科教学的定位、指导思想和培养目标</w:t>
        </w:r>
        <w:r>
          <w:rPr>
            <w:rStyle w:val="Hyperlink"/>
            <w:b/>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_Toc339824609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3</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8" w:anchor="_Toc339824610" w:history="1">
        <w:r>
          <w:rPr>
            <w:rStyle w:val="Hyperlink"/>
            <w:rFonts w:hint="eastAsia"/>
            <w:noProof/>
            <w:color w:val="000000"/>
            <w:sz w:val="28"/>
          </w:rPr>
          <w:t>一、本科教学定位</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_Toc339824610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3</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9" w:anchor="_Toc339824611" w:history="1">
        <w:r>
          <w:rPr>
            <w:rStyle w:val="Hyperlink"/>
            <w:rFonts w:hint="eastAsia"/>
            <w:noProof/>
            <w:color w:val="000000"/>
            <w:sz w:val="28"/>
          </w:rPr>
          <w:t>二、本科教学指导思想</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_Toc339824611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3</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10" w:anchor="_Toc339824612" w:history="1">
        <w:r>
          <w:rPr>
            <w:rStyle w:val="Hyperlink"/>
            <w:rFonts w:hint="eastAsia"/>
            <w:noProof/>
            <w:color w:val="000000"/>
            <w:sz w:val="28"/>
          </w:rPr>
          <w:t>三、本科人才培养目标</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_Toc339824612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3</w:t>
        </w:r>
        <w:r>
          <w:rPr>
            <w:rStyle w:val="Hyperlink"/>
            <w:noProof/>
            <w:webHidden/>
            <w:color w:val="000000"/>
            <w:sz w:val="28"/>
          </w:rPr>
          <w:fldChar w:fldCharType="end"/>
        </w:r>
      </w:hyperlink>
    </w:p>
    <w:p w:rsidR="00E158AE" w:rsidRDefault="00E158AE" w:rsidP="00E158AE">
      <w:pPr>
        <w:pStyle w:val="TOC2"/>
        <w:tabs>
          <w:tab w:val="right" w:leader="dot" w:pos="8296"/>
        </w:tabs>
        <w:rPr>
          <w:rStyle w:val="Hyperlink"/>
          <w:b/>
          <w:color w:val="000000"/>
        </w:rPr>
      </w:pPr>
      <w:hyperlink r:id="rId11" w:anchor="_Toc339824613" w:history="1">
        <w:r>
          <w:rPr>
            <w:rStyle w:val="Hyperlink"/>
            <w:rFonts w:hint="eastAsia"/>
            <w:b/>
            <w:noProof/>
            <w:color w:val="000000"/>
            <w:sz w:val="28"/>
          </w:rPr>
          <w:t>第二部分</w:t>
        </w:r>
        <w:r>
          <w:rPr>
            <w:rStyle w:val="Hyperlink"/>
            <w:b/>
            <w:noProof/>
            <w:color w:val="000000"/>
            <w:sz w:val="28"/>
          </w:rPr>
          <w:t xml:space="preserve"> </w:t>
        </w:r>
        <w:r>
          <w:rPr>
            <w:rStyle w:val="Hyperlink"/>
            <w:rFonts w:hint="eastAsia"/>
            <w:b/>
            <w:noProof/>
            <w:color w:val="000000"/>
            <w:sz w:val="28"/>
          </w:rPr>
          <w:t>师资队伍建设</w:t>
        </w:r>
        <w:r>
          <w:rPr>
            <w:rStyle w:val="Hyperlink"/>
            <w:b/>
            <w:noProof/>
            <w:webHidden/>
            <w:color w:val="000000"/>
          </w:rPr>
          <w:tab/>
        </w:r>
        <w:r>
          <w:rPr>
            <w:rStyle w:val="Hyperlink"/>
            <w:b/>
            <w:noProof/>
            <w:webHidden/>
            <w:color w:val="000000"/>
          </w:rPr>
          <w:fldChar w:fldCharType="begin"/>
        </w:r>
        <w:r>
          <w:rPr>
            <w:rStyle w:val="Hyperlink"/>
            <w:b/>
            <w:noProof/>
            <w:webHidden/>
            <w:color w:val="000000"/>
          </w:rPr>
          <w:instrText xml:space="preserve"> PAGEREF _Toc339824613 \h </w:instrText>
        </w:r>
        <w:r>
          <w:rPr>
            <w:rStyle w:val="Hyperlink"/>
            <w:b/>
            <w:noProof/>
            <w:webHidden/>
            <w:color w:val="000000"/>
          </w:rPr>
        </w:r>
        <w:r>
          <w:rPr>
            <w:rStyle w:val="Hyperlink"/>
            <w:b/>
            <w:noProof/>
            <w:webHidden/>
            <w:color w:val="000000"/>
          </w:rPr>
          <w:fldChar w:fldCharType="separate"/>
        </w:r>
        <w:r>
          <w:rPr>
            <w:rStyle w:val="Hyperlink"/>
            <w:b/>
            <w:noProof/>
            <w:webHidden/>
            <w:color w:val="000000"/>
          </w:rPr>
          <w:t>4</w:t>
        </w:r>
        <w:r>
          <w:rPr>
            <w:rStyle w:val="Hyperlink"/>
            <w:b/>
            <w:noProof/>
            <w:webHidden/>
            <w:color w:val="000000"/>
          </w:rPr>
          <w:fldChar w:fldCharType="end"/>
        </w:r>
      </w:hyperlink>
    </w:p>
    <w:p w:rsidR="00E158AE" w:rsidRDefault="00E158AE" w:rsidP="00E158AE">
      <w:pPr>
        <w:pStyle w:val="TOC3"/>
        <w:rPr>
          <w:rFonts w:eastAsia="仿宋_GB2312"/>
          <w:sz w:val="28"/>
        </w:rPr>
      </w:pPr>
      <w:hyperlink r:id="rId12" w:anchor="_Toc339824614" w:history="1">
        <w:r>
          <w:rPr>
            <w:rStyle w:val="Hyperlink"/>
            <w:rFonts w:hint="eastAsia"/>
            <w:noProof/>
            <w:color w:val="000000"/>
            <w:sz w:val="28"/>
          </w:rPr>
          <w:t>一、师资队伍数量与结构</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_Toc339824614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4</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13" w:anchor="_Toc339824615" w:history="1">
        <w:r>
          <w:rPr>
            <w:rStyle w:val="Hyperlink"/>
            <w:rFonts w:hint="eastAsia"/>
            <w:noProof/>
            <w:color w:val="000000"/>
            <w:sz w:val="28"/>
          </w:rPr>
          <w:t>二、主讲教师</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_Toc339824615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4</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14" w:anchor="_Toc339824616" w:history="1">
        <w:r>
          <w:rPr>
            <w:rStyle w:val="Hyperlink"/>
            <w:rFonts w:hint="eastAsia"/>
            <w:noProof/>
            <w:color w:val="000000"/>
            <w:sz w:val="28"/>
          </w:rPr>
          <w:t>三、教授、副教授上课情况</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_Toc339824616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5</w:t>
        </w:r>
        <w:r>
          <w:rPr>
            <w:rStyle w:val="Hyperlink"/>
            <w:noProof/>
            <w:webHidden/>
            <w:color w:val="000000"/>
            <w:sz w:val="28"/>
          </w:rPr>
          <w:fldChar w:fldCharType="end"/>
        </w:r>
      </w:hyperlink>
    </w:p>
    <w:p w:rsidR="00E158AE" w:rsidRDefault="00E158AE" w:rsidP="00E158AE">
      <w:pPr>
        <w:pStyle w:val="TOC2"/>
        <w:tabs>
          <w:tab w:val="right" w:leader="dot" w:pos="8296"/>
        </w:tabs>
        <w:rPr>
          <w:rStyle w:val="Hyperlink"/>
          <w:b/>
          <w:color w:val="000000"/>
        </w:rPr>
      </w:pPr>
      <w:hyperlink r:id="rId15" w:anchor="_Toc339824617" w:history="1">
        <w:r>
          <w:rPr>
            <w:rStyle w:val="Hyperlink"/>
            <w:rFonts w:hint="eastAsia"/>
            <w:b/>
            <w:noProof/>
            <w:color w:val="000000"/>
            <w:sz w:val="28"/>
          </w:rPr>
          <w:t>第三部分</w:t>
        </w:r>
        <w:r>
          <w:rPr>
            <w:rStyle w:val="Hyperlink"/>
            <w:b/>
            <w:noProof/>
            <w:color w:val="000000"/>
            <w:sz w:val="28"/>
          </w:rPr>
          <w:t xml:space="preserve"> </w:t>
        </w:r>
        <w:r>
          <w:rPr>
            <w:rStyle w:val="Hyperlink"/>
            <w:rFonts w:hint="eastAsia"/>
            <w:b/>
            <w:noProof/>
            <w:color w:val="000000"/>
            <w:sz w:val="28"/>
          </w:rPr>
          <w:t>教学条件建设</w:t>
        </w:r>
        <w:r>
          <w:rPr>
            <w:rStyle w:val="Hyperlink"/>
            <w:b/>
            <w:noProof/>
            <w:webHidden/>
            <w:color w:val="000000"/>
          </w:rPr>
          <w:tab/>
        </w:r>
        <w:r>
          <w:rPr>
            <w:rStyle w:val="Hyperlink"/>
            <w:b/>
            <w:noProof/>
            <w:webHidden/>
            <w:color w:val="000000"/>
          </w:rPr>
          <w:fldChar w:fldCharType="begin"/>
        </w:r>
        <w:r>
          <w:rPr>
            <w:rStyle w:val="Hyperlink"/>
            <w:b/>
            <w:noProof/>
            <w:webHidden/>
            <w:color w:val="000000"/>
          </w:rPr>
          <w:instrText xml:space="preserve"> PAGEREF _Toc339824617 \h </w:instrText>
        </w:r>
        <w:r>
          <w:rPr>
            <w:rStyle w:val="Hyperlink"/>
            <w:b/>
            <w:noProof/>
            <w:webHidden/>
            <w:color w:val="000000"/>
          </w:rPr>
        </w:r>
        <w:r>
          <w:rPr>
            <w:rStyle w:val="Hyperlink"/>
            <w:b/>
            <w:noProof/>
            <w:webHidden/>
            <w:color w:val="000000"/>
          </w:rPr>
          <w:fldChar w:fldCharType="separate"/>
        </w:r>
        <w:r>
          <w:rPr>
            <w:rStyle w:val="Hyperlink"/>
            <w:b/>
            <w:noProof/>
            <w:webHidden/>
            <w:color w:val="000000"/>
          </w:rPr>
          <w:t>6</w:t>
        </w:r>
        <w:r>
          <w:rPr>
            <w:rStyle w:val="Hyperlink"/>
            <w:b/>
            <w:noProof/>
            <w:webHidden/>
            <w:color w:val="000000"/>
          </w:rPr>
          <w:fldChar w:fldCharType="end"/>
        </w:r>
      </w:hyperlink>
    </w:p>
    <w:p w:rsidR="00E158AE" w:rsidRDefault="00E158AE" w:rsidP="00E158AE">
      <w:pPr>
        <w:pStyle w:val="TOC3"/>
        <w:rPr>
          <w:rFonts w:eastAsia="仿宋_GB2312"/>
          <w:sz w:val="28"/>
        </w:rPr>
      </w:pPr>
      <w:hyperlink r:id="rId16" w:anchor="_Toc339824618" w:history="1">
        <w:r>
          <w:rPr>
            <w:rStyle w:val="Hyperlink"/>
            <w:rFonts w:hint="eastAsia"/>
            <w:noProof/>
            <w:color w:val="000000"/>
            <w:sz w:val="28"/>
          </w:rPr>
          <w:t>一、教学基本设施</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_Toc339824618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6</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17" w:anchor="_Toc339824619" w:history="1">
        <w:r>
          <w:rPr>
            <w:rStyle w:val="Hyperlink"/>
            <w:rFonts w:hint="eastAsia"/>
            <w:noProof/>
            <w:color w:val="000000"/>
            <w:sz w:val="28"/>
          </w:rPr>
          <w:t>二、教学经费投入情况</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_Toc339824619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10</w:t>
        </w:r>
        <w:r>
          <w:rPr>
            <w:rStyle w:val="Hyperlink"/>
            <w:noProof/>
            <w:webHidden/>
            <w:color w:val="000000"/>
            <w:sz w:val="28"/>
          </w:rPr>
          <w:fldChar w:fldCharType="end"/>
        </w:r>
      </w:hyperlink>
    </w:p>
    <w:p w:rsidR="00E158AE" w:rsidRDefault="00E158AE" w:rsidP="00E158AE">
      <w:pPr>
        <w:pStyle w:val="TOC2"/>
        <w:tabs>
          <w:tab w:val="right" w:leader="dot" w:pos="8296"/>
        </w:tabs>
        <w:rPr>
          <w:rStyle w:val="Hyperlink"/>
          <w:b/>
          <w:color w:val="000000"/>
        </w:rPr>
      </w:pPr>
      <w:hyperlink r:id="rId18" w:anchor="_Toc339824620" w:history="1">
        <w:r>
          <w:rPr>
            <w:rStyle w:val="Hyperlink"/>
            <w:rFonts w:hint="eastAsia"/>
            <w:b/>
            <w:noProof/>
            <w:color w:val="000000"/>
            <w:sz w:val="28"/>
          </w:rPr>
          <w:t>第四部分</w:t>
        </w:r>
        <w:r>
          <w:rPr>
            <w:rStyle w:val="Hyperlink"/>
            <w:b/>
            <w:noProof/>
            <w:color w:val="000000"/>
            <w:sz w:val="28"/>
          </w:rPr>
          <w:t xml:space="preserve"> </w:t>
        </w:r>
        <w:r>
          <w:rPr>
            <w:rStyle w:val="Hyperlink"/>
            <w:rFonts w:hint="eastAsia"/>
            <w:b/>
            <w:noProof/>
            <w:color w:val="000000"/>
            <w:sz w:val="28"/>
          </w:rPr>
          <w:t>专业建设与教学改革</w:t>
        </w:r>
        <w:r>
          <w:rPr>
            <w:rStyle w:val="Hyperlink"/>
            <w:b/>
            <w:noProof/>
            <w:webHidden/>
            <w:color w:val="000000"/>
          </w:rPr>
          <w:tab/>
        </w:r>
        <w:r>
          <w:rPr>
            <w:rStyle w:val="Hyperlink"/>
            <w:b/>
            <w:noProof/>
            <w:webHidden/>
            <w:color w:val="000000"/>
          </w:rPr>
          <w:fldChar w:fldCharType="begin"/>
        </w:r>
        <w:r>
          <w:rPr>
            <w:rStyle w:val="Hyperlink"/>
            <w:b/>
            <w:noProof/>
            <w:webHidden/>
            <w:color w:val="000000"/>
          </w:rPr>
          <w:instrText xml:space="preserve"> PAGEREF _Toc339824620 \h </w:instrText>
        </w:r>
        <w:r>
          <w:rPr>
            <w:rStyle w:val="Hyperlink"/>
            <w:b/>
            <w:noProof/>
            <w:webHidden/>
            <w:color w:val="000000"/>
          </w:rPr>
        </w:r>
        <w:r>
          <w:rPr>
            <w:rStyle w:val="Hyperlink"/>
            <w:b/>
            <w:noProof/>
            <w:webHidden/>
            <w:color w:val="000000"/>
          </w:rPr>
          <w:fldChar w:fldCharType="separate"/>
        </w:r>
        <w:r>
          <w:rPr>
            <w:rStyle w:val="Hyperlink"/>
            <w:b/>
            <w:noProof/>
            <w:webHidden/>
            <w:color w:val="000000"/>
          </w:rPr>
          <w:t>10</w:t>
        </w:r>
        <w:r>
          <w:rPr>
            <w:rStyle w:val="Hyperlink"/>
            <w:b/>
            <w:noProof/>
            <w:webHidden/>
            <w:color w:val="000000"/>
          </w:rPr>
          <w:fldChar w:fldCharType="end"/>
        </w:r>
      </w:hyperlink>
    </w:p>
    <w:p w:rsidR="00E158AE" w:rsidRDefault="00E158AE" w:rsidP="00E158AE">
      <w:pPr>
        <w:pStyle w:val="TOC3"/>
        <w:rPr>
          <w:rFonts w:eastAsia="仿宋_GB2312"/>
          <w:sz w:val="28"/>
        </w:rPr>
      </w:pPr>
      <w:hyperlink r:id="rId19" w:anchor="_Toc339824621" w:history="1">
        <w:r>
          <w:rPr>
            <w:rStyle w:val="Hyperlink"/>
            <w:rFonts w:hint="eastAsia"/>
            <w:noProof/>
            <w:color w:val="000000"/>
            <w:sz w:val="28"/>
          </w:rPr>
          <w:t>一、专业结构与布局</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_Toc339824621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10</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20" w:anchor="_Toc339824622" w:history="1">
        <w:r>
          <w:rPr>
            <w:rStyle w:val="Hyperlink"/>
            <w:rFonts w:hint="eastAsia"/>
            <w:noProof/>
            <w:color w:val="000000"/>
            <w:sz w:val="28"/>
          </w:rPr>
          <w:t>二、课程体系</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_Toc339824622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12</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21" w:anchor="_Toc339824623" w:history="1">
        <w:r>
          <w:rPr>
            <w:rStyle w:val="Hyperlink"/>
            <w:rFonts w:hint="eastAsia"/>
            <w:noProof/>
            <w:color w:val="000000"/>
            <w:sz w:val="28"/>
          </w:rPr>
          <w:t>三、教材建设</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_Toc339824623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14</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22" w:anchor="_Toc339824624" w:history="1">
        <w:r>
          <w:rPr>
            <w:rStyle w:val="Hyperlink"/>
            <w:rFonts w:hint="eastAsia"/>
            <w:noProof/>
            <w:color w:val="000000"/>
            <w:sz w:val="28"/>
          </w:rPr>
          <w:t>四、实践教学</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_Toc339824624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15</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23" w:anchor="_Toc339824625" w:history="1">
        <w:r>
          <w:rPr>
            <w:rStyle w:val="Hyperlink"/>
            <w:rFonts w:hint="eastAsia"/>
            <w:noProof/>
            <w:color w:val="000000"/>
            <w:sz w:val="28"/>
          </w:rPr>
          <w:t>五、教育教学改革</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_Toc339824625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17</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24" w:anchor="_Toc339824626" w:history="1">
        <w:r>
          <w:rPr>
            <w:rStyle w:val="Hyperlink"/>
            <w:rFonts w:hint="eastAsia"/>
            <w:noProof/>
            <w:color w:val="000000"/>
            <w:sz w:val="28"/>
          </w:rPr>
          <w:t>六、国内外合作与交流</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_Toc339824626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20</w:t>
        </w:r>
        <w:r>
          <w:rPr>
            <w:rStyle w:val="Hyperlink"/>
            <w:noProof/>
            <w:webHidden/>
            <w:color w:val="000000"/>
            <w:sz w:val="28"/>
          </w:rPr>
          <w:fldChar w:fldCharType="end"/>
        </w:r>
      </w:hyperlink>
    </w:p>
    <w:p w:rsidR="00E158AE" w:rsidRDefault="00E158AE" w:rsidP="00E158AE">
      <w:pPr>
        <w:pStyle w:val="TOC2"/>
        <w:tabs>
          <w:tab w:val="right" w:leader="dot" w:pos="8296"/>
        </w:tabs>
        <w:rPr>
          <w:rStyle w:val="Hyperlink"/>
          <w:b/>
          <w:color w:val="000000"/>
        </w:rPr>
      </w:pPr>
      <w:hyperlink r:id="rId25" w:anchor="_Toc339824627" w:history="1">
        <w:r>
          <w:rPr>
            <w:rStyle w:val="Hyperlink"/>
            <w:rFonts w:hint="eastAsia"/>
            <w:b/>
            <w:noProof/>
            <w:color w:val="000000"/>
            <w:sz w:val="28"/>
          </w:rPr>
          <w:t>第五部分</w:t>
        </w:r>
        <w:r>
          <w:rPr>
            <w:rStyle w:val="Hyperlink"/>
            <w:b/>
            <w:noProof/>
            <w:color w:val="000000"/>
            <w:sz w:val="28"/>
          </w:rPr>
          <w:t xml:space="preserve"> </w:t>
        </w:r>
        <w:r>
          <w:rPr>
            <w:rStyle w:val="Hyperlink"/>
            <w:rFonts w:hint="eastAsia"/>
            <w:b/>
            <w:noProof/>
            <w:color w:val="000000"/>
            <w:sz w:val="28"/>
          </w:rPr>
          <w:t>质量保证体系建设</w:t>
        </w:r>
        <w:r>
          <w:rPr>
            <w:rStyle w:val="Hyperlink"/>
            <w:b/>
            <w:noProof/>
            <w:webHidden/>
            <w:color w:val="000000"/>
          </w:rPr>
          <w:tab/>
        </w:r>
        <w:r>
          <w:rPr>
            <w:rStyle w:val="Hyperlink"/>
            <w:b/>
            <w:noProof/>
            <w:webHidden/>
            <w:color w:val="000000"/>
          </w:rPr>
          <w:fldChar w:fldCharType="begin"/>
        </w:r>
        <w:r>
          <w:rPr>
            <w:rStyle w:val="Hyperlink"/>
            <w:b/>
            <w:noProof/>
            <w:webHidden/>
            <w:color w:val="000000"/>
          </w:rPr>
          <w:instrText xml:space="preserve"> PAGEREF _Toc339824627 \h </w:instrText>
        </w:r>
        <w:r>
          <w:rPr>
            <w:rStyle w:val="Hyperlink"/>
            <w:b/>
            <w:noProof/>
            <w:webHidden/>
            <w:color w:val="000000"/>
          </w:rPr>
        </w:r>
        <w:r>
          <w:rPr>
            <w:rStyle w:val="Hyperlink"/>
            <w:b/>
            <w:noProof/>
            <w:webHidden/>
            <w:color w:val="000000"/>
          </w:rPr>
          <w:fldChar w:fldCharType="separate"/>
        </w:r>
        <w:r>
          <w:rPr>
            <w:rStyle w:val="Hyperlink"/>
            <w:b/>
            <w:noProof/>
            <w:webHidden/>
            <w:color w:val="000000"/>
          </w:rPr>
          <w:t>21</w:t>
        </w:r>
        <w:r>
          <w:rPr>
            <w:rStyle w:val="Hyperlink"/>
            <w:b/>
            <w:noProof/>
            <w:webHidden/>
            <w:color w:val="000000"/>
          </w:rPr>
          <w:fldChar w:fldCharType="end"/>
        </w:r>
      </w:hyperlink>
    </w:p>
    <w:p w:rsidR="00E158AE" w:rsidRDefault="00E158AE" w:rsidP="00E158AE">
      <w:pPr>
        <w:pStyle w:val="TOC3"/>
        <w:rPr>
          <w:rFonts w:eastAsia="仿宋_GB2312"/>
          <w:sz w:val="28"/>
        </w:rPr>
      </w:pPr>
      <w:hyperlink r:id="rId26" w:anchor="_Toc339824628" w:history="1">
        <w:r>
          <w:rPr>
            <w:rStyle w:val="Hyperlink"/>
            <w:rFonts w:hint="eastAsia"/>
            <w:noProof/>
            <w:color w:val="000000"/>
            <w:sz w:val="28"/>
          </w:rPr>
          <w:t>一、教学规章制度的建设与执行</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_Toc339824628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22</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27" w:anchor="_Toc339824629" w:history="1">
        <w:r>
          <w:rPr>
            <w:rStyle w:val="Hyperlink"/>
            <w:rFonts w:hint="eastAsia"/>
            <w:noProof/>
            <w:color w:val="000000"/>
            <w:sz w:val="28"/>
          </w:rPr>
          <w:t>二、各主要教学环节的质量标准</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_Toc339824629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22</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28" w:anchor="_Toc339824630" w:history="1">
        <w:r>
          <w:rPr>
            <w:rStyle w:val="Hyperlink"/>
            <w:rFonts w:hint="eastAsia"/>
            <w:noProof/>
            <w:color w:val="000000"/>
            <w:sz w:val="28"/>
          </w:rPr>
          <w:t>三、教学质量监控</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_Toc339824630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23</w:t>
        </w:r>
        <w:r>
          <w:rPr>
            <w:rStyle w:val="Hyperlink"/>
            <w:noProof/>
            <w:webHidden/>
            <w:color w:val="000000"/>
            <w:sz w:val="28"/>
          </w:rPr>
          <w:fldChar w:fldCharType="end"/>
        </w:r>
      </w:hyperlink>
    </w:p>
    <w:p w:rsidR="00E158AE" w:rsidRDefault="00E158AE" w:rsidP="00E158AE">
      <w:pPr>
        <w:pStyle w:val="TOC2"/>
        <w:tabs>
          <w:tab w:val="right" w:leader="dot" w:pos="8296"/>
        </w:tabs>
        <w:rPr>
          <w:rStyle w:val="Hyperlink"/>
          <w:b/>
          <w:color w:val="000000"/>
        </w:rPr>
      </w:pPr>
      <w:hyperlink r:id="rId29" w:anchor="_Toc339824631" w:history="1">
        <w:r>
          <w:rPr>
            <w:rStyle w:val="Hyperlink"/>
            <w:rFonts w:hint="eastAsia"/>
            <w:b/>
            <w:noProof/>
            <w:color w:val="000000"/>
            <w:sz w:val="28"/>
          </w:rPr>
          <w:t>第六部分</w:t>
        </w:r>
        <w:r>
          <w:rPr>
            <w:rStyle w:val="Hyperlink"/>
            <w:b/>
            <w:noProof/>
            <w:color w:val="000000"/>
            <w:sz w:val="28"/>
          </w:rPr>
          <w:t xml:space="preserve"> </w:t>
        </w:r>
        <w:r>
          <w:rPr>
            <w:rStyle w:val="Hyperlink"/>
            <w:rFonts w:hint="eastAsia"/>
            <w:b/>
            <w:noProof/>
            <w:color w:val="000000"/>
            <w:sz w:val="28"/>
          </w:rPr>
          <w:t>教学效果</w:t>
        </w:r>
        <w:r>
          <w:rPr>
            <w:rStyle w:val="Hyperlink"/>
            <w:b/>
            <w:noProof/>
            <w:webHidden/>
            <w:color w:val="000000"/>
          </w:rPr>
          <w:tab/>
        </w:r>
        <w:r>
          <w:rPr>
            <w:rStyle w:val="Hyperlink"/>
            <w:b/>
            <w:noProof/>
            <w:webHidden/>
            <w:color w:val="000000"/>
          </w:rPr>
          <w:fldChar w:fldCharType="begin"/>
        </w:r>
        <w:r>
          <w:rPr>
            <w:rStyle w:val="Hyperlink"/>
            <w:b/>
            <w:noProof/>
            <w:webHidden/>
            <w:color w:val="000000"/>
          </w:rPr>
          <w:instrText xml:space="preserve"> PAGEREF _Toc339824631 \h </w:instrText>
        </w:r>
        <w:r>
          <w:rPr>
            <w:rStyle w:val="Hyperlink"/>
            <w:b/>
            <w:noProof/>
            <w:webHidden/>
            <w:color w:val="000000"/>
          </w:rPr>
        </w:r>
        <w:r>
          <w:rPr>
            <w:rStyle w:val="Hyperlink"/>
            <w:b/>
            <w:noProof/>
            <w:webHidden/>
            <w:color w:val="000000"/>
          </w:rPr>
          <w:fldChar w:fldCharType="separate"/>
        </w:r>
        <w:r>
          <w:rPr>
            <w:rStyle w:val="Hyperlink"/>
            <w:b/>
            <w:noProof/>
            <w:webHidden/>
            <w:color w:val="000000"/>
          </w:rPr>
          <w:t>25</w:t>
        </w:r>
        <w:r>
          <w:rPr>
            <w:rStyle w:val="Hyperlink"/>
            <w:b/>
            <w:noProof/>
            <w:webHidden/>
            <w:color w:val="000000"/>
          </w:rPr>
          <w:fldChar w:fldCharType="end"/>
        </w:r>
      </w:hyperlink>
    </w:p>
    <w:p w:rsidR="00E158AE" w:rsidRDefault="00E158AE" w:rsidP="00E158AE">
      <w:pPr>
        <w:pStyle w:val="TOC3"/>
        <w:rPr>
          <w:rFonts w:eastAsia="仿宋_GB2312"/>
          <w:sz w:val="28"/>
        </w:rPr>
      </w:pPr>
      <w:hyperlink r:id="rId30" w:anchor="_Toc339824632" w:history="1">
        <w:r>
          <w:rPr>
            <w:rStyle w:val="Hyperlink"/>
            <w:rFonts w:hint="eastAsia"/>
            <w:noProof/>
            <w:color w:val="000000"/>
            <w:sz w:val="28"/>
          </w:rPr>
          <w:t>一、学生获奖情况</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_Toc339824632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25</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31" w:anchor="_Toc339824633" w:history="1">
        <w:r>
          <w:rPr>
            <w:rStyle w:val="Hyperlink"/>
            <w:rFonts w:hint="eastAsia"/>
            <w:noProof/>
            <w:color w:val="000000"/>
            <w:sz w:val="28"/>
          </w:rPr>
          <w:t>二、毕业、就业情况</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_Toc339824633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26</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32" w:anchor="_Toc339824634" w:history="1">
        <w:r>
          <w:rPr>
            <w:rStyle w:val="Hyperlink"/>
            <w:rFonts w:hint="eastAsia"/>
            <w:noProof/>
            <w:color w:val="000000"/>
            <w:sz w:val="28"/>
          </w:rPr>
          <w:t>三、社会评价</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_Toc339824634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27</w:t>
        </w:r>
        <w:r>
          <w:rPr>
            <w:rStyle w:val="Hyperlink"/>
            <w:noProof/>
            <w:webHidden/>
            <w:color w:val="000000"/>
            <w:sz w:val="28"/>
          </w:rPr>
          <w:fldChar w:fldCharType="end"/>
        </w:r>
      </w:hyperlink>
    </w:p>
    <w:p w:rsidR="00E158AE" w:rsidRDefault="00E158AE" w:rsidP="00E158AE">
      <w:pPr>
        <w:pStyle w:val="TOC2"/>
        <w:tabs>
          <w:tab w:val="right" w:leader="dot" w:pos="8296"/>
        </w:tabs>
        <w:rPr>
          <w:rStyle w:val="Hyperlink"/>
          <w:b/>
          <w:color w:val="000000"/>
        </w:rPr>
      </w:pPr>
      <w:hyperlink r:id="rId33" w:anchor="_Toc339824635" w:history="1">
        <w:r>
          <w:rPr>
            <w:rStyle w:val="Hyperlink"/>
            <w:rFonts w:hint="eastAsia"/>
            <w:b/>
            <w:noProof/>
            <w:color w:val="000000"/>
            <w:sz w:val="28"/>
          </w:rPr>
          <w:t>第七部分</w:t>
        </w:r>
        <w:r>
          <w:rPr>
            <w:rStyle w:val="Hyperlink"/>
            <w:b/>
            <w:noProof/>
            <w:color w:val="000000"/>
            <w:sz w:val="28"/>
          </w:rPr>
          <w:t xml:space="preserve"> </w:t>
        </w:r>
        <w:r>
          <w:rPr>
            <w:rStyle w:val="Hyperlink"/>
            <w:rFonts w:hint="eastAsia"/>
            <w:b/>
            <w:noProof/>
            <w:color w:val="000000"/>
            <w:sz w:val="28"/>
          </w:rPr>
          <w:t>办学特色</w:t>
        </w:r>
        <w:r>
          <w:rPr>
            <w:rStyle w:val="Hyperlink"/>
            <w:b/>
            <w:noProof/>
            <w:webHidden/>
            <w:color w:val="000000"/>
          </w:rPr>
          <w:tab/>
        </w:r>
        <w:r>
          <w:rPr>
            <w:rStyle w:val="Hyperlink"/>
            <w:b/>
            <w:noProof/>
            <w:webHidden/>
            <w:color w:val="000000"/>
          </w:rPr>
          <w:fldChar w:fldCharType="begin"/>
        </w:r>
        <w:r>
          <w:rPr>
            <w:rStyle w:val="Hyperlink"/>
            <w:b/>
            <w:noProof/>
            <w:webHidden/>
            <w:color w:val="000000"/>
          </w:rPr>
          <w:instrText xml:space="preserve"> PAGEREF _Toc339824635 \h </w:instrText>
        </w:r>
        <w:r>
          <w:rPr>
            <w:rStyle w:val="Hyperlink"/>
            <w:b/>
            <w:noProof/>
            <w:webHidden/>
            <w:color w:val="000000"/>
          </w:rPr>
        </w:r>
        <w:r>
          <w:rPr>
            <w:rStyle w:val="Hyperlink"/>
            <w:b/>
            <w:noProof/>
            <w:webHidden/>
            <w:color w:val="000000"/>
          </w:rPr>
          <w:fldChar w:fldCharType="separate"/>
        </w:r>
        <w:r>
          <w:rPr>
            <w:rStyle w:val="Hyperlink"/>
            <w:b/>
            <w:noProof/>
            <w:webHidden/>
            <w:color w:val="000000"/>
          </w:rPr>
          <w:t>27</w:t>
        </w:r>
        <w:r>
          <w:rPr>
            <w:rStyle w:val="Hyperlink"/>
            <w:b/>
            <w:noProof/>
            <w:webHidden/>
            <w:color w:val="000000"/>
          </w:rPr>
          <w:fldChar w:fldCharType="end"/>
        </w:r>
      </w:hyperlink>
    </w:p>
    <w:p w:rsidR="00E158AE" w:rsidRDefault="00E158AE" w:rsidP="00E158AE">
      <w:pPr>
        <w:pStyle w:val="TOC3"/>
        <w:rPr>
          <w:rFonts w:eastAsia="仿宋_GB2312"/>
          <w:sz w:val="28"/>
        </w:rPr>
      </w:pPr>
      <w:hyperlink r:id="rId34" w:anchor="_Toc339824636" w:history="1">
        <w:r>
          <w:rPr>
            <w:rStyle w:val="Hyperlink"/>
            <w:rFonts w:hint="eastAsia"/>
            <w:noProof/>
            <w:color w:val="000000"/>
            <w:sz w:val="28"/>
          </w:rPr>
          <w:t>一、专业建设特色</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_Toc339824636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28</w:t>
        </w:r>
        <w:r>
          <w:rPr>
            <w:rStyle w:val="Hyperlink"/>
            <w:noProof/>
            <w:webHidden/>
            <w:color w:val="000000"/>
            <w:sz w:val="28"/>
          </w:rPr>
          <w:fldChar w:fldCharType="end"/>
        </w:r>
      </w:hyperlink>
    </w:p>
    <w:p w:rsidR="00E158AE" w:rsidRDefault="00E158AE" w:rsidP="00E158AE">
      <w:pPr>
        <w:pStyle w:val="TOC3"/>
        <w:rPr>
          <w:rFonts w:eastAsia="仿宋_GB2312"/>
          <w:noProof/>
          <w:color w:val="000000"/>
          <w:sz w:val="28"/>
        </w:rPr>
      </w:pPr>
      <w:hyperlink r:id="rId35" w:anchor="_Toc339824637" w:history="1">
        <w:r>
          <w:rPr>
            <w:rStyle w:val="Hyperlink"/>
            <w:rFonts w:hint="eastAsia"/>
            <w:noProof/>
            <w:color w:val="000000"/>
            <w:sz w:val="28"/>
          </w:rPr>
          <w:t>二、培养模式特色</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_Toc339824637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29</w:t>
        </w:r>
        <w:r>
          <w:rPr>
            <w:rStyle w:val="Hyperlink"/>
            <w:noProof/>
            <w:webHidden/>
            <w:color w:val="000000"/>
            <w:sz w:val="28"/>
          </w:rPr>
          <w:fldChar w:fldCharType="end"/>
        </w:r>
      </w:hyperlink>
    </w:p>
    <w:p w:rsidR="00E158AE" w:rsidRDefault="00E158AE" w:rsidP="00E158AE">
      <w:pPr>
        <w:pStyle w:val="TOC2"/>
        <w:tabs>
          <w:tab w:val="right" w:leader="dot" w:pos="8296"/>
        </w:tabs>
        <w:rPr>
          <w:rStyle w:val="Hyperlink"/>
          <w:b/>
          <w:color w:val="000000"/>
        </w:rPr>
      </w:pPr>
      <w:hyperlink r:id="rId36" w:anchor="_Toc339824639" w:history="1">
        <w:r>
          <w:rPr>
            <w:rStyle w:val="Hyperlink"/>
            <w:rFonts w:hint="eastAsia"/>
            <w:b/>
            <w:noProof/>
            <w:color w:val="000000"/>
            <w:sz w:val="28"/>
          </w:rPr>
          <w:t>第八部分</w:t>
        </w:r>
        <w:r>
          <w:rPr>
            <w:rStyle w:val="Hyperlink"/>
            <w:b/>
            <w:noProof/>
            <w:color w:val="000000"/>
            <w:sz w:val="28"/>
          </w:rPr>
          <w:t xml:space="preserve"> </w:t>
        </w:r>
        <w:r>
          <w:rPr>
            <w:rStyle w:val="Hyperlink"/>
            <w:rFonts w:hint="eastAsia"/>
            <w:b/>
            <w:noProof/>
            <w:color w:val="000000"/>
            <w:sz w:val="28"/>
          </w:rPr>
          <w:t>问题与展望</w:t>
        </w:r>
        <w:r>
          <w:rPr>
            <w:rStyle w:val="Hyperlink"/>
            <w:b/>
            <w:noProof/>
            <w:webHidden/>
            <w:color w:val="000000"/>
          </w:rPr>
          <w:tab/>
        </w:r>
        <w:r>
          <w:rPr>
            <w:rStyle w:val="Hyperlink"/>
            <w:noProof/>
            <w:webHidden/>
            <w:sz w:val="28"/>
          </w:rPr>
          <w:fldChar w:fldCharType="begin"/>
        </w:r>
        <w:r>
          <w:rPr>
            <w:rStyle w:val="Hyperlink"/>
            <w:noProof/>
            <w:webHidden/>
            <w:sz w:val="28"/>
          </w:rPr>
          <w:instrText xml:space="preserve"> PAGEREF _Toc339824639 \h </w:instrText>
        </w:r>
        <w:r>
          <w:rPr>
            <w:rStyle w:val="Hyperlink"/>
            <w:noProof/>
            <w:webHidden/>
            <w:sz w:val="28"/>
          </w:rPr>
        </w:r>
        <w:r>
          <w:rPr>
            <w:rStyle w:val="Hyperlink"/>
            <w:noProof/>
            <w:webHidden/>
            <w:sz w:val="28"/>
          </w:rPr>
          <w:fldChar w:fldCharType="separate"/>
        </w:r>
        <w:r>
          <w:rPr>
            <w:rStyle w:val="Hyperlink"/>
            <w:noProof/>
            <w:webHidden/>
            <w:sz w:val="28"/>
          </w:rPr>
          <w:t>32</w:t>
        </w:r>
        <w:r>
          <w:rPr>
            <w:rStyle w:val="Hyperlink"/>
            <w:noProof/>
            <w:webHidden/>
            <w:sz w:val="28"/>
          </w:rPr>
          <w:fldChar w:fldCharType="end"/>
        </w:r>
      </w:hyperlink>
    </w:p>
    <w:p w:rsidR="00E158AE" w:rsidRDefault="00E158AE" w:rsidP="00E158AE">
      <w:pPr>
        <w:pStyle w:val="TOC3"/>
        <w:rPr>
          <w:rFonts w:eastAsia="仿宋_GB2312"/>
          <w:sz w:val="28"/>
        </w:rPr>
      </w:pPr>
      <w:hyperlink r:id="rId37" w:anchor="_Toc339824640" w:history="1">
        <w:r>
          <w:rPr>
            <w:rStyle w:val="Hyperlink"/>
            <w:rFonts w:hint="eastAsia"/>
            <w:noProof/>
            <w:color w:val="000000"/>
            <w:sz w:val="28"/>
          </w:rPr>
          <w:t>一、</w:t>
        </w:r>
        <w:r>
          <w:rPr>
            <w:rStyle w:val="Hyperlink"/>
            <w:noProof/>
            <w:color w:val="000000"/>
            <w:sz w:val="28"/>
          </w:rPr>
          <w:tab/>
        </w:r>
        <w:r>
          <w:rPr>
            <w:rStyle w:val="Hyperlink"/>
            <w:rFonts w:hint="eastAsia"/>
            <w:noProof/>
            <w:color w:val="000000"/>
            <w:sz w:val="28"/>
          </w:rPr>
          <w:t>存在的问题及解决措施</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_Toc339824640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32</w:t>
        </w:r>
        <w:r>
          <w:rPr>
            <w:rStyle w:val="Hyperlink"/>
            <w:noProof/>
            <w:webHidden/>
            <w:color w:val="000000"/>
            <w:sz w:val="28"/>
          </w:rPr>
          <w:fldChar w:fldCharType="end"/>
        </w:r>
      </w:hyperlink>
    </w:p>
    <w:p w:rsidR="00E158AE" w:rsidRDefault="00E158AE" w:rsidP="00E158AE">
      <w:pPr>
        <w:pStyle w:val="TOC3"/>
        <w:rPr>
          <w:rStyle w:val="Hyperlink"/>
          <w:color w:val="000000"/>
        </w:rPr>
      </w:pPr>
      <w:hyperlink r:id="rId38" w:anchor="_Toc339824641" w:history="1">
        <w:r>
          <w:rPr>
            <w:rStyle w:val="Hyperlink"/>
            <w:rFonts w:hint="eastAsia"/>
            <w:noProof/>
            <w:color w:val="000000"/>
            <w:sz w:val="28"/>
          </w:rPr>
          <w:t>二、今后本科教学工作的基本思路</w:t>
        </w:r>
        <w:r>
          <w:rPr>
            <w:rStyle w:val="Hyperlink"/>
            <w:noProof/>
            <w:webHidden/>
            <w:color w:val="000000"/>
            <w:sz w:val="28"/>
          </w:rPr>
          <w:tab/>
        </w:r>
        <w:r>
          <w:rPr>
            <w:rStyle w:val="Hyperlink"/>
            <w:noProof/>
            <w:webHidden/>
            <w:color w:val="000000"/>
            <w:sz w:val="28"/>
          </w:rPr>
          <w:fldChar w:fldCharType="begin"/>
        </w:r>
        <w:r>
          <w:rPr>
            <w:rStyle w:val="Hyperlink"/>
            <w:noProof/>
            <w:webHidden/>
            <w:color w:val="000000"/>
            <w:sz w:val="28"/>
          </w:rPr>
          <w:instrText xml:space="preserve"> PAGEREF _Toc339824641 \h </w:instrText>
        </w:r>
        <w:r>
          <w:rPr>
            <w:rStyle w:val="Hyperlink"/>
            <w:noProof/>
            <w:webHidden/>
            <w:color w:val="000000"/>
            <w:sz w:val="28"/>
          </w:rPr>
        </w:r>
        <w:r>
          <w:rPr>
            <w:rStyle w:val="Hyperlink"/>
            <w:noProof/>
            <w:webHidden/>
            <w:color w:val="000000"/>
            <w:sz w:val="28"/>
          </w:rPr>
          <w:fldChar w:fldCharType="separate"/>
        </w:r>
        <w:r>
          <w:rPr>
            <w:rStyle w:val="Hyperlink"/>
            <w:noProof/>
            <w:webHidden/>
            <w:color w:val="000000"/>
            <w:sz w:val="28"/>
          </w:rPr>
          <w:t>34</w:t>
        </w:r>
        <w:r>
          <w:rPr>
            <w:rStyle w:val="Hyperlink"/>
            <w:noProof/>
            <w:webHidden/>
            <w:color w:val="000000"/>
            <w:sz w:val="28"/>
          </w:rPr>
          <w:fldChar w:fldCharType="end"/>
        </w:r>
      </w:hyperlink>
    </w:p>
    <w:p w:rsidR="00E158AE" w:rsidRDefault="00E158AE" w:rsidP="00E158AE">
      <w:pPr>
        <w:pStyle w:val="TOC3"/>
      </w:pPr>
    </w:p>
    <w:p w:rsidR="00E158AE" w:rsidRDefault="00E158AE" w:rsidP="00E158AE">
      <w:pPr>
        <w:spacing w:line="360" w:lineRule="auto"/>
        <w:jc w:val="center"/>
        <w:rPr>
          <w:rFonts w:ascii="黑体" w:eastAsia="仿宋_GB2312"/>
          <w:color w:val="000000"/>
          <w:sz w:val="28"/>
          <w:szCs w:val="30"/>
        </w:rPr>
      </w:pPr>
      <w:r>
        <w:rPr>
          <w:rFonts w:ascii="黑体" w:eastAsia="仿宋_GB2312" w:hint="eastAsia"/>
          <w:color w:val="000000"/>
          <w:sz w:val="28"/>
          <w:szCs w:val="30"/>
        </w:rPr>
        <w:fldChar w:fldCharType="end"/>
      </w:r>
    </w:p>
    <w:p w:rsidR="00E158AE" w:rsidRDefault="00E158AE" w:rsidP="00E158AE">
      <w:pPr>
        <w:widowControl/>
        <w:spacing w:beforeAutospacing="1" w:afterAutospacing="1" w:line="360" w:lineRule="auto"/>
        <w:jc w:val="left"/>
        <w:rPr>
          <w:rFonts w:ascii="黑体" w:eastAsia="仿宋_GB2312"/>
          <w:color w:val="000000"/>
          <w:kern w:val="0"/>
          <w:sz w:val="28"/>
          <w:szCs w:val="30"/>
        </w:rPr>
        <w:sectPr w:rsidR="00E158AE">
          <w:pgSz w:w="11906" w:h="16838"/>
          <w:pgMar w:top="1440" w:right="1800" w:bottom="1440" w:left="1800" w:header="851" w:footer="992" w:gutter="0"/>
          <w:pgNumType w:start="1"/>
          <w:cols w:space="720"/>
          <w:docGrid w:type="lines" w:linePitch="312"/>
        </w:sectPr>
      </w:pPr>
    </w:p>
    <w:p w:rsidR="00E158AE" w:rsidRDefault="00E158AE" w:rsidP="00E158AE">
      <w:pPr>
        <w:pStyle w:val="Heading2"/>
        <w:spacing w:before="156"/>
        <w:rPr>
          <w:rFonts w:hint="eastAsia"/>
        </w:rPr>
      </w:pPr>
      <w:bookmarkStart w:id="26" w:name="_Toc339824608"/>
      <w:bookmarkStart w:id="27" w:name="_Toc339118958"/>
      <w:r>
        <w:rPr>
          <w:rFonts w:hint="eastAsia"/>
        </w:rPr>
        <w:lastRenderedPageBreak/>
        <w:t>学校概况</w:t>
      </w:r>
      <w:bookmarkEnd w:id="26"/>
      <w:bookmarkEnd w:id="27"/>
    </w:p>
    <w:p w:rsidR="00E158AE" w:rsidRDefault="00E158AE" w:rsidP="00E158AE">
      <w:pPr>
        <w:spacing w:line="36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中国政法大学是一所以法学为特色和优势，兼有文学、史学、哲学、经济学、管理学、教育学等多学科的“211工程”重点建设大学，直属于教育部。2007年，法学一级学科被教育部确定为“国家重点学科”；2011年，成为“985工程优势学科创新平台”建设大学。2012年，我校迎来建校60年的光辉时刻。</w:t>
      </w:r>
    </w:p>
    <w:p w:rsidR="00E158AE" w:rsidRDefault="00E158AE" w:rsidP="00E158AE">
      <w:pPr>
        <w:spacing w:line="36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60年来，法大秉承“厚德、明法、格物、致公”的校训精神，坚持“学术立校、人才强校、特色兴校、依法治校”的办学理念，以建设“开放式、国际化、多科性、创新型的世界知名法科强校”为办学目标，追求公平正义、崇尚学术自由，不断提高教学质量，大力开展科学研究，积极参与国家立法和普法宣传，主动服务执法司法实践，始终活跃在国家法治建设的最前列，始终奋进在高等法学教育的最高端，探索走出了一条内涵发展、特色发展、创新发展、开放发展、国际发展、和谐发展的强校建设之路。学校先后培养了20多万各类高级专门人才，涌现出一大批学术名师、政法英才，创造了一系列有价值、有影响的法学研究成果，为推进依法治国进程、服务经济社会发展做出了突出贡献。在法学领域，法大已经成为我国公认的法学教育中心和政法干部培训中心、法学研究中心、国家立法和法治决策咨询服务中心、法学图书资料信息中心、法学学术和法律文化交流中心，被誉为“中国法学教育的最高学府”。</w:t>
      </w:r>
      <w:r>
        <w:rPr>
          <w:rFonts w:ascii="仿宋_GB2312" w:eastAsia="仿宋_GB2312"/>
          <w:color w:val="000000"/>
          <w:sz w:val="28"/>
          <w:szCs w:val="28"/>
        </w:rPr>
        <w:t> </w:t>
      </w:r>
      <w:r>
        <w:rPr>
          <w:rFonts w:ascii="仿宋_GB2312" w:eastAsia="仿宋_GB2312" w:hint="eastAsia"/>
          <w:color w:val="000000"/>
          <w:sz w:val="28"/>
          <w:szCs w:val="28"/>
        </w:rPr>
        <w:t>学校先后与39个国家和地区的157所知名大学和机构建立了合作关系，每年通过多种合作交流项目派出近千名师生赴境外学习交流。2008年建立的中国政法大学中</w:t>
      </w:r>
      <w:r>
        <w:rPr>
          <w:rFonts w:ascii="仿宋_GB2312" w:eastAsia="仿宋_GB2312" w:hint="eastAsia"/>
          <w:color w:val="000000"/>
          <w:sz w:val="28"/>
          <w:szCs w:val="28"/>
        </w:rPr>
        <w:lastRenderedPageBreak/>
        <w:t>欧法学院是中国政府和欧盟在法学教育领域最大的合作项目。随着该项目的实施，学校培养国际型法律人才的格局、规模已经初步形成。</w:t>
      </w:r>
    </w:p>
    <w:p w:rsidR="00E158AE" w:rsidRDefault="00E158AE" w:rsidP="00E158AE">
      <w:pPr>
        <w:spacing w:line="360" w:lineRule="auto"/>
        <w:ind w:firstLineChars="200" w:firstLine="560"/>
        <w:rPr>
          <w:rFonts w:ascii="仿宋_GB2312" w:eastAsia="仿宋_GB2312" w:hint="eastAsia"/>
          <w:sz w:val="28"/>
          <w:szCs w:val="28"/>
        </w:rPr>
      </w:pPr>
      <w:r>
        <w:rPr>
          <w:rFonts w:ascii="仿宋_GB2312" w:eastAsia="仿宋_GB2312" w:hint="eastAsia"/>
          <w:color w:val="000000"/>
          <w:sz w:val="28"/>
          <w:szCs w:val="28"/>
        </w:rPr>
        <w:t>学校现有全日制在校生14409人，其中本科生8369人，占全日制在校生的58%；硕士研究生5123</w:t>
      </w:r>
      <w:r>
        <w:rPr>
          <w:rFonts w:ascii="仿宋_GB2312" w:eastAsia="仿宋_GB2312" w:hint="eastAsia"/>
          <w:sz w:val="28"/>
          <w:szCs w:val="28"/>
        </w:rPr>
        <w:t>人，博士研究生917人。外国留学生355人。教师821人，其中博士生导师167人，硕士生导师547人，教授248人、副教授375人，专任教</w:t>
      </w:r>
      <w:smartTag w:uri="urn:schemas-microsoft-com:office:smarttags" w:element="PersonName">
        <w:smartTagPr>
          <w:attr w:name="ProductID" w:val="师中有"/>
        </w:smartTagPr>
        <w:r>
          <w:rPr>
            <w:rFonts w:ascii="仿宋_GB2312" w:eastAsia="仿宋_GB2312" w:hint="eastAsia"/>
            <w:sz w:val="28"/>
            <w:szCs w:val="28"/>
          </w:rPr>
          <w:t>师中有</w:t>
        </w:r>
      </w:smartTag>
      <w:r>
        <w:rPr>
          <w:rFonts w:ascii="仿宋_GB2312" w:eastAsia="仿宋_GB2312" w:hint="eastAsia"/>
          <w:sz w:val="28"/>
          <w:szCs w:val="28"/>
        </w:rPr>
        <w:t>博士或硕士学位的比例达76%。</w:t>
      </w:r>
    </w:p>
    <w:p w:rsidR="00E158AE" w:rsidRDefault="00E158AE" w:rsidP="00E158AE">
      <w:pPr>
        <w:spacing w:line="360" w:lineRule="auto"/>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学校设有法学、侦查学、政治学与行政学、行政管理、国际政治、公共事业管理、工商管理、经济学、国际商务、哲学、汉语言文学、思想政治教育、社会学、社会工作、应用心理学、英语、德语、新闻学共18个本科专业，其中法学、政治学与行政学、社会学为国家级特色专业。</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2012年我校在全国除西藏外的30个省、市、自治区共招收2016名本科生。我校在全国范围内依然属于热门院校，录取的绝大部分考生分数均处于当地生源的最前端，生源质量进一步全面提高。在绝大部分省、直辖市、自治区的文科或理科最低录取分数线都令人满意，基本上都高出当地重点线40分以上，其中，以北京、吉林、天津为代表，文科最低录取分数线高出当地重点线50分以上的省份达到21个；以北京、辽宁、云南为代表，理科最低录取分数线高出当地重点线60分以上的省份达到24个，在所有的省份之中，有7个省份的最低录取分数线达到了高出当地重点线100分以上的水平。</w:t>
      </w:r>
    </w:p>
    <w:p w:rsidR="00E158AE" w:rsidRDefault="00E158AE" w:rsidP="00E158AE">
      <w:pPr>
        <w:ind w:firstLineChars="200" w:firstLine="560"/>
        <w:rPr>
          <w:rFonts w:ascii="仿宋_GB2312" w:eastAsia="仿宋_GB2312" w:hint="eastAsia"/>
          <w:color w:val="000000"/>
          <w:sz w:val="28"/>
          <w:szCs w:val="28"/>
        </w:rPr>
      </w:pPr>
    </w:p>
    <w:p w:rsidR="00E158AE" w:rsidRDefault="00E158AE" w:rsidP="00E158AE">
      <w:pPr>
        <w:ind w:firstLineChars="200" w:firstLine="560"/>
        <w:rPr>
          <w:rFonts w:ascii="仿宋_GB2312" w:eastAsia="仿宋_GB2312" w:hint="eastAsia"/>
          <w:color w:val="000000"/>
          <w:sz w:val="28"/>
          <w:szCs w:val="28"/>
        </w:rPr>
      </w:pPr>
    </w:p>
    <w:p w:rsidR="00E158AE" w:rsidRDefault="00E158AE" w:rsidP="00E158AE">
      <w:pPr>
        <w:pStyle w:val="Heading2"/>
        <w:spacing w:before="156"/>
        <w:rPr>
          <w:rFonts w:hint="eastAsia"/>
        </w:rPr>
      </w:pPr>
      <w:bookmarkStart w:id="28" w:name="_Toc339824609"/>
      <w:bookmarkStart w:id="29" w:name="_Toc339118959"/>
      <w:r>
        <w:rPr>
          <w:rFonts w:hint="eastAsia"/>
        </w:rPr>
        <w:t>第一部分 本科教学的定位、指导思想和培养目标</w:t>
      </w:r>
      <w:bookmarkEnd w:id="28"/>
      <w:bookmarkEnd w:id="29"/>
    </w:p>
    <w:p w:rsidR="00E158AE" w:rsidRDefault="00E158AE" w:rsidP="00E158AE">
      <w:pPr>
        <w:pStyle w:val="Heading3"/>
        <w:spacing w:before="156"/>
        <w:rPr>
          <w:rFonts w:hint="eastAsia"/>
        </w:rPr>
      </w:pPr>
      <w:bookmarkStart w:id="30" w:name="_Toc339824610"/>
      <w:r>
        <w:rPr>
          <w:rFonts w:hint="eastAsia"/>
        </w:rPr>
        <w:t>一、本科教学定位</w:t>
      </w:r>
      <w:bookmarkEnd w:id="30"/>
    </w:p>
    <w:p w:rsidR="00E158AE" w:rsidRDefault="00E158AE" w:rsidP="00E158AE">
      <w:pPr>
        <w:ind w:firstLineChars="200" w:firstLine="560"/>
        <w:rPr>
          <w:rFonts w:ascii="仿宋_GB2312" w:eastAsia="仿宋_GB2312"/>
          <w:color w:val="000000"/>
          <w:sz w:val="28"/>
          <w:szCs w:val="28"/>
        </w:rPr>
      </w:pPr>
      <w:r>
        <w:rPr>
          <w:rFonts w:ascii="仿宋_GB2312" w:eastAsia="仿宋_GB2312" w:hint="eastAsia"/>
          <w:color w:val="000000"/>
          <w:sz w:val="28"/>
          <w:szCs w:val="28"/>
        </w:rPr>
        <w:t>紧紧围绕提高人才培养质量这一核心任务，更新教育教学理念、创新工作方法，在巩固本科教学基础地位、优化人才培养结构、健全教育质量评估制度、改革招生考试制度的基础上，进一步在创新人才培养模式、强化实践育人环节、强化人才培养的国际化等方面进行积极探索，实现人才培养工作的内涵式发展，使学校人才培养质量得到显著提高。</w:t>
      </w:r>
    </w:p>
    <w:p w:rsidR="00E158AE" w:rsidRDefault="00E158AE" w:rsidP="00E158AE">
      <w:pPr>
        <w:pStyle w:val="Heading3"/>
        <w:spacing w:before="156"/>
        <w:rPr>
          <w:rFonts w:hint="eastAsia"/>
        </w:rPr>
      </w:pPr>
      <w:bookmarkStart w:id="31" w:name="_Toc339824611"/>
      <w:r>
        <w:rPr>
          <w:rFonts w:hint="eastAsia"/>
        </w:rPr>
        <w:t>二、本科教学指导思想</w:t>
      </w:r>
      <w:bookmarkEnd w:id="31"/>
      <w:r>
        <w:t xml:space="preserve"> </w:t>
      </w:r>
    </w:p>
    <w:p w:rsidR="00E158AE" w:rsidRDefault="00E158AE" w:rsidP="00E158AE">
      <w:pPr>
        <w:ind w:firstLineChars="200" w:firstLine="560"/>
        <w:rPr>
          <w:rFonts w:ascii="仿宋_GB2312" w:eastAsia="仿宋_GB2312" w:hAnsi="宋体"/>
          <w:color w:val="000000"/>
          <w:sz w:val="28"/>
          <w:szCs w:val="28"/>
        </w:rPr>
      </w:pPr>
      <w:r>
        <w:rPr>
          <w:rFonts w:ascii="仿宋_GB2312" w:eastAsia="仿宋_GB2312" w:hint="eastAsia"/>
          <w:color w:val="000000"/>
          <w:sz w:val="28"/>
          <w:szCs w:val="28"/>
        </w:rPr>
        <w:t>以邓小平理论和“三个代表”重要思想为指导，以党的十八大思想为导向，以科学发展观统揽全局，</w:t>
      </w:r>
      <w:r>
        <w:rPr>
          <w:rFonts w:ascii="仿宋_GB2312" w:eastAsia="仿宋_GB2312" w:hAnsi="宋体" w:cs="宋体" w:hint="eastAsia"/>
          <w:color w:val="000000"/>
          <w:sz w:val="28"/>
          <w:szCs w:val="28"/>
        </w:rPr>
        <w:t>认真领会胡锦涛总书记在庆祝清华大学百年校庆上的讲话精神，深入贯彻全国教育工作会议、《国家中长期教育改革和发展规划纲要（2010－2020年）》，</w:t>
      </w:r>
      <w:r>
        <w:rPr>
          <w:rFonts w:ascii="仿宋_GB2312" w:eastAsia="仿宋_GB2312" w:hint="eastAsia"/>
          <w:bCs/>
          <w:color w:val="000000"/>
          <w:sz w:val="28"/>
          <w:szCs w:val="28"/>
        </w:rPr>
        <w:t>全面</w:t>
      </w:r>
      <w:r>
        <w:rPr>
          <w:rFonts w:ascii="仿宋_GB2312" w:eastAsia="仿宋_GB2312" w:hint="eastAsia"/>
          <w:color w:val="000000"/>
          <w:sz w:val="28"/>
          <w:szCs w:val="28"/>
        </w:rPr>
        <w:t>落实学校第七次党代会确立的战略部署，坚持解放思想、实事求是、与时俱进，坚持“稳定规模、优化结构、突出特色、内涵发展、提高质量”的发展思路，</w:t>
      </w:r>
      <w:r>
        <w:rPr>
          <w:rFonts w:ascii="仿宋_GB2312" w:eastAsia="仿宋_GB2312" w:hAnsi="宋体" w:hint="eastAsia"/>
          <w:color w:val="000000"/>
          <w:sz w:val="28"/>
          <w:szCs w:val="28"/>
        </w:rPr>
        <w:t>将改革创新作为人才培养工作发展的强大动力，将提高质量作为人才培养工作的核心任务，顺应国内国际高等教育发展趋势，把握高等教育主流意识，不断提高教育教学水平与人才培养质量，</w:t>
      </w:r>
      <w:r>
        <w:rPr>
          <w:rFonts w:ascii="仿宋_GB2312" w:eastAsia="仿宋_GB2312" w:hint="eastAsia"/>
          <w:color w:val="000000"/>
          <w:sz w:val="28"/>
          <w:szCs w:val="28"/>
        </w:rPr>
        <w:t>全面提升学校在国内外高等教育领域的地位和影响，为建设开放式、国际化、多科性、创新型的世界知名法科强校进一步奠定坚实基础。</w:t>
      </w:r>
    </w:p>
    <w:p w:rsidR="00E158AE" w:rsidRDefault="00E158AE" w:rsidP="00E158AE">
      <w:pPr>
        <w:pStyle w:val="Heading3"/>
        <w:spacing w:before="156"/>
        <w:rPr>
          <w:rFonts w:hint="eastAsia"/>
        </w:rPr>
      </w:pPr>
      <w:bookmarkStart w:id="32" w:name="_Toc339824612"/>
      <w:r>
        <w:rPr>
          <w:rFonts w:hint="eastAsia"/>
        </w:rPr>
        <w:lastRenderedPageBreak/>
        <w:t>三、本科人才培养目标</w:t>
      </w:r>
      <w:bookmarkEnd w:id="32"/>
    </w:p>
    <w:p w:rsidR="00E158AE" w:rsidRDefault="00E158AE" w:rsidP="00E158AE">
      <w:pPr>
        <w:ind w:firstLineChars="200" w:firstLine="560"/>
        <w:rPr>
          <w:rFonts w:ascii="仿宋_GB2312" w:eastAsia="仿宋_GB2312" w:hAnsi="宋体"/>
          <w:color w:val="000000"/>
          <w:sz w:val="28"/>
          <w:szCs w:val="28"/>
        </w:rPr>
      </w:pPr>
      <w:r>
        <w:rPr>
          <w:rFonts w:ascii="仿宋_GB2312" w:eastAsia="仿宋_GB2312" w:hint="eastAsia"/>
          <w:color w:val="000000"/>
          <w:sz w:val="28"/>
          <w:szCs w:val="28"/>
        </w:rPr>
        <w:t>根据建设世界知名法科强校的目标，我校确定了培养具有</w:t>
      </w:r>
      <w:r>
        <w:rPr>
          <w:rFonts w:ascii="仿宋_GB2312" w:eastAsia="仿宋_GB2312" w:hAnsi="宋体" w:hint="eastAsia"/>
          <w:color w:val="000000"/>
          <w:sz w:val="28"/>
          <w:szCs w:val="28"/>
        </w:rPr>
        <w:t>“厚基础、宽口径、高素质、强能力的复合型、应用型、创新型、国际型”的本科生人才培养目标。</w:t>
      </w:r>
    </w:p>
    <w:p w:rsidR="00E158AE" w:rsidRDefault="00E158AE" w:rsidP="00E158AE">
      <w:pPr>
        <w:pStyle w:val="Heading2"/>
        <w:spacing w:before="156"/>
        <w:rPr>
          <w:rFonts w:hint="eastAsia"/>
        </w:rPr>
      </w:pPr>
      <w:bookmarkStart w:id="33" w:name="_Toc339824613"/>
      <w:bookmarkStart w:id="34" w:name="_Toc339118960"/>
      <w:r>
        <w:rPr>
          <w:rFonts w:hint="eastAsia"/>
        </w:rPr>
        <w:t>第二部分 师资队伍建设</w:t>
      </w:r>
      <w:bookmarkEnd w:id="33"/>
      <w:bookmarkEnd w:id="34"/>
    </w:p>
    <w:p w:rsidR="00E158AE" w:rsidRDefault="00E158AE" w:rsidP="00E158AE">
      <w:pPr>
        <w:pStyle w:val="Heading3"/>
        <w:spacing w:before="156"/>
        <w:rPr>
          <w:rFonts w:hint="eastAsia"/>
        </w:rPr>
      </w:pPr>
      <w:bookmarkStart w:id="35" w:name="_Toc339824614"/>
      <w:r>
        <w:rPr>
          <w:rFonts w:hint="eastAsia"/>
        </w:rPr>
        <w:t>一、师资队伍数量与结构</w:t>
      </w:r>
      <w:bookmarkEnd w:id="35"/>
    </w:p>
    <w:p w:rsidR="00E158AE" w:rsidRDefault="00E158AE" w:rsidP="00E158AE">
      <w:pPr>
        <w:ind w:firstLineChars="200" w:firstLine="560"/>
        <w:rPr>
          <w:rFonts w:ascii="仿宋_GB2312" w:eastAsia="仿宋_GB2312" w:hAnsi="宋体"/>
          <w:sz w:val="28"/>
          <w:szCs w:val="28"/>
        </w:rPr>
      </w:pPr>
      <w:r>
        <w:rPr>
          <w:rFonts w:ascii="仿宋_GB2312" w:eastAsia="仿宋_GB2312" w:cs="楷体_GB2312" w:hint="eastAsia"/>
          <w:color w:val="000000"/>
          <w:kern w:val="0"/>
          <w:sz w:val="28"/>
          <w:szCs w:val="28"/>
        </w:rPr>
        <w:t>近</w:t>
      </w:r>
      <w:r>
        <w:rPr>
          <w:rFonts w:ascii="仿宋_GB2312" w:eastAsia="仿宋_GB2312" w:cs="楷体_GB2312" w:hint="eastAsia"/>
          <w:kern w:val="0"/>
          <w:sz w:val="28"/>
          <w:szCs w:val="28"/>
        </w:rPr>
        <w:t>年来，学校大力加强队伍结构建设，顺利完成从队伍数量规模建设向队伍质量内涵建设的转变，</w:t>
      </w:r>
      <w:r>
        <w:rPr>
          <w:rFonts w:ascii="仿宋_GB2312" w:eastAsia="仿宋_GB2312" w:hint="eastAsia"/>
          <w:sz w:val="28"/>
          <w:szCs w:val="28"/>
        </w:rPr>
        <w:t>师资队伍数量与结构更为优化，层次显著提高</w:t>
      </w:r>
      <w:r>
        <w:rPr>
          <w:rFonts w:ascii="仿宋_GB2312" w:eastAsia="仿宋_GB2312" w:cs="楷体_GB2312" w:hint="eastAsia"/>
          <w:kern w:val="0"/>
          <w:sz w:val="28"/>
          <w:szCs w:val="28"/>
        </w:rPr>
        <w:t>。</w:t>
      </w:r>
      <w:r>
        <w:rPr>
          <w:rFonts w:ascii="仿宋_GB2312" w:eastAsia="仿宋_GB2312" w:hint="eastAsia"/>
          <w:sz w:val="28"/>
          <w:szCs w:val="28"/>
        </w:rPr>
        <w:t>截至2012年底，我校专任教师821人。其中，法学(一级学科)专业教师436人，占教师总数的53.11%；法学以外专业（含公共课）教师385人，占教师总数的46.89%，充分满足了教学、科研等工作的需要，保证了人才培养质量。</w:t>
      </w:r>
    </w:p>
    <w:p w:rsidR="00E158AE" w:rsidRDefault="00E158AE" w:rsidP="00E158AE">
      <w:pPr>
        <w:spacing w:line="240" w:lineRule="atLeast"/>
        <w:jc w:val="center"/>
        <w:rPr>
          <w:rFonts w:ascii="仿宋_GB2312" w:eastAsia="仿宋_GB2312" w:hint="eastAsia"/>
          <w:b/>
          <w:szCs w:val="21"/>
        </w:rPr>
      </w:pPr>
    </w:p>
    <w:p w:rsidR="00E158AE" w:rsidRDefault="00E158AE" w:rsidP="00E158AE">
      <w:pPr>
        <w:spacing w:afterLines="20" w:after="62" w:line="240" w:lineRule="atLeast"/>
        <w:jc w:val="center"/>
        <w:rPr>
          <w:rFonts w:ascii="仿宋_GB2312" w:eastAsia="仿宋_GB2312" w:hint="eastAsia"/>
          <w:b/>
          <w:szCs w:val="21"/>
        </w:rPr>
      </w:pPr>
      <w:r>
        <w:rPr>
          <w:rFonts w:ascii="仿宋_GB2312" w:eastAsia="仿宋_GB2312" w:hint="eastAsia"/>
          <w:b/>
          <w:szCs w:val="21"/>
        </w:rPr>
        <w:t>2012年专任教师年龄结构统计表</w:t>
      </w:r>
    </w:p>
    <w:tbl>
      <w:tblPr>
        <w:tblW w:w="80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14"/>
        <w:gridCol w:w="1615"/>
        <w:gridCol w:w="1613"/>
        <w:gridCol w:w="1614"/>
        <w:gridCol w:w="1614"/>
      </w:tblGrid>
      <w:tr w:rsidR="00E158AE" w:rsidTr="00E158AE">
        <w:trPr>
          <w:trHeight w:val="351"/>
          <w:jc w:val="center"/>
        </w:trPr>
        <w:tc>
          <w:tcPr>
            <w:tcW w:w="1614"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年龄（岁）</w:t>
            </w:r>
          </w:p>
        </w:tc>
        <w:tc>
          <w:tcPr>
            <w:tcW w:w="161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≤35</w:t>
            </w:r>
          </w:p>
        </w:tc>
        <w:tc>
          <w:tcPr>
            <w:tcW w:w="1614"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35～45</w:t>
            </w:r>
          </w:p>
        </w:tc>
        <w:tc>
          <w:tcPr>
            <w:tcW w:w="161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46～55</w:t>
            </w:r>
          </w:p>
        </w:tc>
        <w:tc>
          <w:tcPr>
            <w:tcW w:w="161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＞55</w:t>
            </w:r>
          </w:p>
        </w:tc>
      </w:tr>
      <w:tr w:rsidR="00E158AE" w:rsidTr="00E158AE">
        <w:trPr>
          <w:trHeight w:val="351"/>
          <w:jc w:val="center"/>
        </w:trPr>
        <w:tc>
          <w:tcPr>
            <w:tcW w:w="1614"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数量（人）</w:t>
            </w:r>
          </w:p>
        </w:tc>
        <w:tc>
          <w:tcPr>
            <w:tcW w:w="161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117</w:t>
            </w:r>
          </w:p>
        </w:tc>
        <w:tc>
          <w:tcPr>
            <w:tcW w:w="1614"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305</w:t>
            </w:r>
          </w:p>
        </w:tc>
        <w:tc>
          <w:tcPr>
            <w:tcW w:w="161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284</w:t>
            </w:r>
          </w:p>
        </w:tc>
        <w:tc>
          <w:tcPr>
            <w:tcW w:w="161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115</w:t>
            </w:r>
          </w:p>
        </w:tc>
      </w:tr>
      <w:tr w:rsidR="00E158AE" w:rsidTr="00E158AE">
        <w:trPr>
          <w:trHeight w:val="351"/>
          <w:jc w:val="center"/>
        </w:trPr>
        <w:tc>
          <w:tcPr>
            <w:tcW w:w="1614"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比例（%）</w:t>
            </w:r>
          </w:p>
        </w:tc>
        <w:tc>
          <w:tcPr>
            <w:tcW w:w="161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14.25</w:t>
            </w:r>
          </w:p>
        </w:tc>
        <w:tc>
          <w:tcPr>
            <w:tcW w:w="1614"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37.15</w:t>
            </w:r>
          </w:p>
        </w:tc>
        <w:tc>
          <w:tcPr>
            <w:tcW w:w="161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34.59</w:t>
            </w:r>
          </w:p>
        </w:tc>
        <w:tc>
          <w:tcPr>
            <w:tcW w:w="161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14.01</w:t>
            </w:r>
          </w:p>
        </w:tc>
      </w:tr>
    </w:tbl>
    <w:p w:rsidR="00E158AE" w:rsidRDefault="00E158AE" w:rsidP="00E158AE">
      <w:pPr>
        <w:pStyle w:val="Default"/>
        <w:spacing w:line="240" w:lineRule="atLeast"/>
        <w:jc w:val="center"/>
        <w:rPr>
          <w:rFonts w:ascii="仿宋_GB2312" w:eastAsia="仿宋_GB2312" w:cs="仿宋_GB2312" w:hint="eastAsia"/>
          <w:b/>
          <w:color w:val="auto"/>
          <w:sz w:val="21"/>
          <w:szCs w:val="21"/>
        </w:rPr>
      </w:pPr>
    </w:p>
    <w:p w:rsidR="00E158AE" w:rsidRDefault="00E158AE" w:rsidP="00E158AE">
      <w:pPr>
        <w:spacing w:afterLines="20" w:after="62" w:line="240" w:lineRule="atLeast"/>
        <w:jc w:val="center"/>
        <w:rPr>
          <w:rFonts w:ascii="仿宋_GB2312" w:eastAsia="仿宋_GB2312" w:hint="eastAsia"/>
          <w:b/>
          <w:szCs w:val="21"/>
        </w:rPr>
      </w:pPr>
      <w:r>
        <w:rPr>
          <w:rFonts w:ascii="仿宋_GB2312" w:eastAsia="仿宋_GB2312" w:hint="eastAsia"/>
          <w:b/>
          <w:szCs w:val="21"/>
        </w:rPr>
        <w:t>2012年专任教师职称结构统计表</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800"/>
        <w:gridCol w:w="1620"/>
        <w:gridCol w:w="1532"/>
        <w:gridCol w:w="1536"/>
        <w:gridCol w:w="1595"/>
      </w:tblGrid>
      <w:tr w:rsidR="00E158AE" w:rsidTr="00E158AE">
        <w:trPr>
          <w:trHeight w:val="315"/>
          <w:jc w:val="center"/>
        </w:trPr>
        <w:tc>
          <w:tcPr>
            <w:tcW w:w="1800"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职称</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正高级</w:t>
            </w:r>
          </w:p>
        </w:tc>
        <w:tc>
          <w:tcPr>
            <w:tcW w:w="1532"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副高级</w:t>
            </w:r>
          </w:p>
        </w:tc>
        <w:tc>
          <w:tcPr>
            <w:tcW w:w="1536"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中级</w:t>
            </w:r>
          </w:p>
        </w:tc>
        <w:tc>
          <w:tcPr>
            <w:tcW w:w="159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初级</w:t>
            </w:r>
          </w:p>
        </w:tc>
      </w:tr>
      <w:tr w:rsidR="00E158AE" w:rsidTr="00E158AE">
        <w:trPr>
          <w:trHeight w:val="315"/>
          <w:jc w:val="center"/>
        </w:trPr>
        <w:tc>
          <w:tcPr>
            <w:tcW w:w="1800"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数量（人）</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248</w:t>
            </w:r>
          </w:p>
        </w:tc>
        <w:tc>
          <w:tcPr>
            <w:tcW w:w="1532"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375</w:t>
            </w:r>
          </w:p>
        </w:tc>
        <w:tc>
          <w:tcPr>
            <w:tcW w:w="1536"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188</w:t>
            </w:r>
          </w:p>
        </w:tc>
        <w:tc>
          <w:tcPr>
            <w:tcW w:w="159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10</w:t>
            </w:r>
          </w:p>
        </w:tc>
      </w:tr>
      <w:tr w:rsidR="00E158AE" w:rsidTr="00E158AE">
        <w:trPr>
          <w:trHeight w:val="315"/>
          <w:jc w:val="center"/>
        </w:trPr>
        <w:tc>
          <w:tcPr>
            <w:tcW w:w="1800"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比例（%）</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30.21</w:t>
            </w:r>
          </w:p>
        </w:tc>
        <w:tc>
          <w:tcPr>
            <w:tcW w:w="1532"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45.68</w:t>
            </w:r>
          </w:p>
        </w:tc>
        <w:tc>
          <w:tcPr>
            <w:tcW w:w="1536"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22.89</w:t>
            </w:r>
          </w:p>
        </w:tc>
        <w:tc>
          <w:tcPr>
            <w:tcW w:w="159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1.22</w:t>
            </w:r>
          </w:p>
        </w:tc>
      </w:tr>
    </w:tbl>
    <w:p w:rsidR="00E158AE" w:rsidRDefault="00E158AE" w:rsidP="00E158AE">
      <w:pPr>
        <w:pStyle w:val="Default"/>
        <w:spacing w:line="240" w:lineRule="atLeast"/>
        <w:jc w:val="center"/>
        <w:rPr>
          <w:rFonts w:ascii="仿宋_GB2312" w:eastAsia="仿宋_GB2312" w:hint="eastAsia"/>
          <w:b/>
          <w:color w:val="auto"/>
          <w:sz w:val="21"/>
          <w:szCs w:val="21"/>
        </w:rPr>
      </w:pPr>
    </w:p>
    <w:p w:rsidR="00E158AE" w:rsidRDefault="00E158AE" w:rsidP="00E158AE">
      <w:pPr>
        <w:spacing w:afterLines="20" w:after="62" w:line="240" w:lineRule="atLeast"/>
        <w:jc w:val="center"/>
        <w:rPr>
          <w:rFonts w:ascii="仿宋_GB2312" w:eastAsia="仿宋_GB2312" w:hint="eastAsia"/>
          <w:b/>
          <w:szCs w:val="21"/>
        </w:rPr>
      </w:pPr>
      <w:r>
        <w:rPr>
          <w:rFonts w:ascii="仿宋_GB2312" w:eastAsia="仿宋_GB2312" w:hint="eastAsia"/>
          <w:b/>
          <w:szCs w:val="21"/>
        </w:rPr>
        <w:t>2012年专任教师学位结构统计表</w:t>
      </w:r>
    </w:p>
    <w:tbl>
      <w:tblPr>
        <w:tblW w:w="81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790"/>
        <w:gridCol w:w="2056"/>
        <w:gridCol w:w="2102"/>
        <w:gridCol w:w="2152"/>
      </w:tblGrid>
      <w:tr w:rsidR="00E158AE" w:rsidTr="00E158AE">
        <w:trPr>
          <w:cantSplit/>
          <w:trHeight w:val="315"/>
          <w:jc w:val="center"/>
        </w:trPr>
        <w:tc>
          <w:tcPr>
            <w:tcW w:w="1789"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autoSpaceDE w:val="0"/>
              <w:autoSpaceDN w:val="0"/>
              <w:adjustRightInd w:val="0"/>
              <w:spacing w:line="240" w:lineRule="atLeast"/>
              <w:jc w:val="center"/>
              <w:rPr>
                <w:rFonts w:ascii="仿宋_GB2312" w:eastAsia="仿宋_GB2312" w:cs="仿宋_GB2312" w:hint="eastAsia"/>
                <w:kern w:val="0"/>
                <w:szCs w:val="21"/>
              </w:rPr>
            </w:pPr>
            <w:r>
              <w:rPr>
                <w:rFonts w:ascii="仿宋_GB2312" w:eastAsia="仿宋_GB2312" w:cs="仿宋_GB2312" w:hint="eastAsia"/>
                <w:kern w:val="0"/>
                <w:szCs w:val="21"/>
              </w:rPr>
              <w:t>学位</w:t>
            </w:r>
          </w:p>
        </w:tc>
        <w:tc>
          <w:tcPr>
            <w:tcW w:w="205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autoSpaceDE w:val="0"/>
              <w:autoSpaceDN w:val="0"/>
              <w:adjustRightInd w:val="0"/>
              <w:spacing w:line="240" w:lineRule="atLeast"/>
              <w:jc w:val="center"/>
              <w:rPr>
                <w:rFonts w:ascii="仿宋_GB2312" w:eastAsia="仿宋_GB2312" w:cs="仿宋_GB2312" w:hint="eastAsia"/>
                <w:kern w:val="0"/>
                <w:szCs w:val="21"/>
              </w:rPr>
            </w:pPr>
            <w:r>
              <w:rPr>
                <w:rFonts w:ascii="仿宋_GB2312" w:eastAsia="仿宋_GB2312" w:cs="仿宋_GB2312" w:hint="eastAsia"/>
                <w:kern w:val="0"/>
                <w:szCs w:val="21"/>
              </w:rPr>
              <w:t>博士</w:t>
            </w:r>
          </w:p>
        </w:tc>
        <w:tc>
          <w:tcPr>
            <w:tcW w:w="2101"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autoSpaceDE w:val="0"/>
              <w:autoSpaceDN w:val="0"/>
              <w:adjustRightInd w:val="0"/>
              <w:spacing w:line="240" w:lineRule="atLeast"/>
              <w:jc w:val="center"/>
              <w:rPr>
                <w:rFonts w:ascii="仿宋_GB2312" w:eastAsia="仿宋_GB2312" w:cs="仿宋_GB2312" w:hint="eastAsia"/>
                <w:kern w:val="0"/>
                <w:szCs w:val="21"/>
              </w:rPr>
            </w:pPr>
            <w:r>
              <w:rPr>
                <w:rFonts w:ascii="仿宋_GB2312" w:eastAsia="仿宋_GB2312" w:cs="仿宋_GB2312" w:hint="eastAsia"/>
                <w:kern w:val="0"/>
                <w:szCs w:val="21"/>
              </w:rPr>
              <w:t>硕士</w:t>
            </w:r>
          </w:p>
        </w:tc>
        <w:tc>
          <w:tcPr>
            <w:tcW w:w="2151"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autoSpaceDE w:val="0"/>
              <w:autoSpaceDN w:val="0"/>
              <w:adjustRightInd w:val="0"/>
              <w:spacing w:line="240" w:lineRule="atLeast"/>
              <w:jc w:val="center"/>
              <w:rPr>
                <w:rFonts w:ascii="仿宋_GB2312" w:eastAsia="仿宋_GB2312" w:cs="仿宋_GB2312" w:hint="eastAsia"/>
                <w:kern w:val="0"/>
                <w:szCs w:val="21"/>
              </w:rPr>
            </w:pPr>
            <w:r>
              <w:rPr>
                <w:rFonts w:ascii="仿宋_GB2312" w:eastAsia="仿宋_GB2312" w:cs="仿宋_GB2312" w:hint="eastAsia"/>
                <w:kern w:val="0"/>
                <w:szCs w:val="21"/>
              </w:rPr>
              <w:t>学士</w:t>
            </w:r>
          </w:p>
        </w:tc>
      </w:tr>
      <w:tr w:rsidR="00E158AE" w:rsidTr="00E158AE">
        <w:trPr>
          <w:cantSplit/>
          <w:trHeight w:val="315"/>
          <w:jc w:val="center"/>
        </w:trPr>
        <w:tc>
          <w:tcPr>
            <w:tcW w:w="1789"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autoSpaceDE w:val="0"/>
              <w:autoSpaceDN w:val="0"/>
              <w:adjustRightInd w:val="0"/>
              <w:spacing w:line="240" w:lineRule="atLeast"/>
              <w:jc w:val="center"/>
              <w:rPr>
                <w:rFonts w:ascii="仿宋_GB2312" w:eastAsia="仿宋_GB2312" w:cs="仿宋_GB2312" w:hint="eastAsia"/>
                <w:kern w:val="0"/>
                <w:szCs w:val="21"/>
              </w:rPr>
            </w:pPr>
            <w:r>
              <w:rPr>
                <w:rFonts w:ascii="仿宋_GB2312" w:eastAsia="仿宋_GB2312" w:cs="仿宋_GB2312" w:hint="eastAsia"/>
                <w:kern w:val="0"/>
                <w:szCs w:val="21"/>
              </w:rPr>
              <w:t>数量（人）</w:t>
            </w:r>
          </w:p>
        </w:tc>
        <w:tc>
          <w:tcPr>
            <w:tcW w:w="205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autoSpaceDE w:val="0"/>
              <w:autoSpaceDN w:val="0"/>
              <w:adjustRightInd w:val="0"/>
              <w:spacing w:line="240" w:lineRule="atLeast"/>
              <w:jc w:val="center"/>
              <w:rPr>
                <w:rFonts w:ascii="仿宋_GB2312" w:eastAsia="仿宋_GB2312" w:hint="eastAsia"/>
                <w:kern w:val="0"/>
                <w:szCs w:val="21"/>
              </w:rPr>
            </w:pPr>
            <w:r>
              <w:rPr>
                <w:rFonts w:ascii="仿宋_GB2312" w:eastAsia="仿宋_GB2312" w:hint="eastAsia"/>
                <w:kern w:val="0"/>
                <w:szCs w:val="21"/>
              </w:rPr>
              <w:t>521</w:t>
            </w:r>
          </w:p>
        </w:tc>
        <w:tc>
          <w:tcPr>
            <w:tcW w:w="2101"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autoSpaceDE w:val="0"/>
              <w:autoSpaceDN w:val="0"/>
              <w:adjustRightInd w:val="0"/>
              <w:spacing w:line="240" w:lineRule="atLeast"/>
              <w:jc w:val="center"/>
              <w:rPr>
                <w:rFonts w:ascii="仿宋_GB2312" w:eastAsia="仿宋_GB2312" w:hint="eastAsia"/>
                <w:kern w:val="0"/>
                <w:szCs w:val="21"/>
              </w:rPr>
            </w:pPr>
            <w:r>
              <w:rPr>
                <w:rFonts w:ascii="仿宋_GB2312" w:eastAsia="仿宋_GB2312" w:hint="eastAsia"/>
                <w:kern w:val="0"/>
                <w:szCs w:val="21"/>
              </w:rPr>
              <w:t>195</w:t>
            </w:r>
          </w:p>
        </w:tc>
        <w:tc>
          <w:tcPr>
            <w:tcW w:w="2151"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autoSpaceDE w:val="0"/>
              <w:autoSpaceDN w:val="0"/>
              <w:adjustRightInd w:val="0"/>
              <w:spacing w:line="240" w:lineRule="atLeast"/>
              <w:jc w:val="center"/>
              <w:rPr>
                <w:rFonts w:ascii="仿宋_GB2312" w:eastAsia="仿宋_GB2312" w:hint="eastAsia"/>
                <w:kern w:val="0"/>
                <w:szCs w:val="21"/>
              </w:rPr>
            </w:pPr>
            <w:r>
              <w:rPr>
                <w:rFonts w:ascii="仿宋_GB2312" w:eastAsia="仿宋_GB2312" w:hint="eastAsia"/>
                <w:kern w:val="0"/>
                <w:szCs w:val="21"/>
              </w:rPr>
              <w:t>93</w:t>
            </w:r>
          </w:p>
        </w:tc>
      </w:tr>
      <w:tr w:rsidR="00E158AE" w:rsidTr="00E158AE">
        <w:trPr>
          <w:cantSplit/>
          <w:trHeight w:val="315"/>
          <w:jc w:val="center"/>
        </w:trPr>
        <w:tc>
          <w:tcPr>
            <w:tcW w:w="1789"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autoSpaceDE w:val="0"/>
              <w:autoSpaceDN w:val="0"/>
              <w:adjustRightInd w:val="0"/>
              <w:spacing w:line="240" w:lineRule="atLeast"/>
              <w:jc w:val="center"/>
              <w:rPr>
                <w:rFonts w:ascii="仿宋_GB2312" w:eastAsia="仿宋_GB2312" w:cs="仿宋_GB2312" w:hint="eastAsia"/>
                <w:kern w:val="0"/>
                <w:szCs w:val="21"/>
              </w:rPr>
            </w:pPr>
            <w:r>
              <w:rPr>
                <w:rFonts w:ascii="仿宋_GB2312" w:eastAsia="仿宋_GB2312" w:cs="仿宋_GB2312" w:hint="eastAsia"/>
                <w:kern w:val="0"/>
                <w:szCs w:val="21"/>
              </w:rPr>
              <w:t>比例（</w:t>
            </w:r>
            <w:r>
              <w:rPr>
                <w:rFonts w:ascii="仿宋_GB2312" w:eastAsia="仿宋_GB2312" w:hint="eastAsia"/>
                <w:kern w:val="0"/>
                <w:szCs w:val="21"/>
              </w:rPr>
              <w:t>%</w:t>
            </w:r>
            <w:r>
              <w:rPr>
                <w:rFonts w:ascii="仿宋_GB2312" w:eastAsia="仿宋_GB2312" w:cs="仿宋_GB2312" w:hint="eastAsia"/>
                <w:kern w:val="0"/>
                <w:szCs w:val="21"/>
              </w:rPr>
              <w:t>）</w:t>
            </w:r>
          </w:p>
        </w:tc>
        <w:tc>
          <w:tcPr>
            <w:tcW w:w="2055"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autoSpaceDE w:val="0"/>
              <w:autoSpaceDN w:val="0"/>
              <w:adjustRightInd w:val="0"/>
              <w:spacing w:line="240" w:lineRule="atLeast"/>
              <w:jc w:val="center"/>
              <w:rPr>
                <w:rFonts w:ascii="仿宋_GB2312" w:eastAsia="仿宋_GB2312" w:hint="eastAsia"/>
                <w:kern w:val="0"/>
                <w:szCs w:val="21"/>
              </w:rPr>
            </w:pPr>
            <w:r>
              <w:rPr>
                <w:rFonts w:ascii="仿宋_GB2312" w:eastAsia="仿宋_GB2312" w:hint="eastAsia"/>
                <w:kern w:val="0"/>
                <w:szCs w:val="21"/>
              </w:rPr>
              <w:t>63.46</w:t>
            </w:r>
          </w:p>
        </w:tc>
        <w:tc>
          <w:tcPr>
            <w:tcW w:w="2101"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autoSpaceDE w:val="0"/>
              <w:autoSpaceDN w:val="0"/>
              <w:adjustRightInd w:val="0"/>
              <w:spacing w:line="240" w:lineRule="atLeast"/>
              <w:jc w:val="center"/>
              <w:rPr>
                <w:rFonts w:ascii="仿宋_GB2312" w:eastAsia="仿宋_GB2312" w:hint="eastAsia"/>
                <w:kern w:val="0"/>
                <w:szCs w:val="21"/>
              </w:rPr>
            </w:pPr>
            <w:r>
              <w:rPr>
                <w:rFonts w:ascii="仿宋_GB2312" w:eastAsia="仿宋_GB2312" w:hint="eastAsia"/>
                <w:kern w:val="0"/>
                <w:szCs w:val="21"/>
              </w:rPr>
              <w:t>23.75</w:t>
            </w:r>
          </w:p>
        </w:tc>
        <w:tc>
          <w:tcPr>
            <w:tcW w:w="2151"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autoSpaceDE w:val="0"/>
              <w:autoSpaceDN w:val="0"/>
              <w:adjustRightInd w:val="0"/>
              <w:spacing w:line="240" w:lineRule="atLeast"/>
              <w:jc w:val="center"/>
              <w:rPr>
                <w:rFonts w:ascii="仿宋_GB2312" w:eastAsia="仿宋_GB2312" w:hint="eastAsia"/>
                <w:kern w:val="0"/>
                <w:szCs w:val="21"/>
              </w:rPr>
            </w:pPr>
            <w:r>
              <w:rPr>
                <w:rFonts w:ascii="仿宋_GB2312" w:eastAsia="仿宋_GB2312" w:hint="eastAsia"/>
                <w:kern w:val="0"/>
                <w:szCs w:val="21"/>
              </w:rPr>
              <w:t>11.33</w:t>
            </w:r>
          </w:p>
        </w:tc>
      </w:tr>
    </w:tbl>
    <w:p w:rsidR="00E158AE" w:rsidRDefault="00E158AE" w:rsidP="00E158AE">
      <w:pPr>
        <w:pStyle w:val="Heading3"/>
        <w:spacing w:before="156"/>
        <w:rPr>
          <w:rFonts w:hint="eastAsia"/>
        </w:rPr>
      </w:pPr>
      <w:bookmarkStart w:id="36" w:name="_Toc339824615"/>
      <w:r>
        <w:rPr>
          <w:rFonts w:hint="eastAsia"/>
        </w:rPr>
        <w:lastRenderedPageBreak/>
        <w:t>二、主讲教师</w:t>
      </w:r>
      <w:bookmarkEnd w:id="36"/>
    </w:p>
    <w:p w:rsidR="00E158AE" w:rsidRDefault="00E158AE" w:rsidP="00E158AE">
      <w:pPr>
        <w:ind w:firstLineChars="200" w:firstLine="560"/>
        <w:rPr>
          <w:rFonts w:ascii="仿宋_GB2312" w:eastAsia="仿宋_GB2312"/>
          <w:sz w:val="28"/>
          <w:szCs w:val="28"/>
        </w:rPr>
      </w:pPr>
      <w:r>
        <w:rPr>
          <w:rFonts w:ascii="仿宋_GB2312" w:eastAsia="仿宋_GB2312" w:hint="eastAsia"/>
          <w:color w:val="000000"/>
          <w:sz w:val="28"/>
          <w:szCs w:val="28"/>
        </w:rPr>
        <w:t>学校实行严格的主讲教师资格审查和岗位责任制度，对主讲教师的思想政治素质、职业道德、学历学位、学术水平、教育教学能力等方面提出具体要求。坚持将最优秀的师资配置在本科教学一线，通过激励与考核相结合，保障学科带头人担任核心课程的主讲教师，保障教授、副教授成为主讲教师</w:t>
      </w:r>
      <w:bookmarkStart w:id="37" w:name="_Toc167629753"/>
      <w:bookmarkStart w:id="38" w:name="_Toc165602124"/>
      <w:bookmarkStart w:id="39" w:name="_Toc165515646"/>
      <w:r>
        <w:rPr>
          <w:rFonts w:ascii="仿宋_GB2312" w:eastAsia="仿宋_GB2312" w:hint="eastAsia"/>
          <w:color w:val="000000"/>
          <w:sz w:val="28"/>
          <w:szCs w:val="28"/>
        </w:rPr>
        <w:t>。</w:t>
      </w:r>
      <w:bookmarkEnd w:id="37"/>
      <w:bookmarkEnd w:id="38"/>
      <w:bookmarkEnd w:id="39"/>
      <w:r>
        <w:rPr>
          <w:rFonts w:ascii="仿宋_GB2312" w:eastAsia="仿宋_GB2312" w:hint="eastAsia"/>
          <w:color w:val="000000"/>
          <w:sz w:val="28"/>
          <w:szCs w:val="28"/>
        </w:rPr>
        <w:t>本着培训与上岗相结合的原则，学校制定了详细规划，设立专项资金，开展多种形式的教师培训和评优表彰</w:t>
      </w:r>
      <w:r>
        <w:rPr>
          <w:rFonts w:ascii="仿宋_GB2312" w:eastAsia="仿宋_GB2312" w:hint="eastAsia"/>
          <w:sz w:val="28"/>
          <w:szCs w:val="28"/>
        </w:rPr>
        <w:t>活动。每年组织学校教学基本功大赛，广大中青年教师踊跃参加，已成为教师切磋教学经验、提高教学水平和展示个人风采的重要舞台。2012年，我校符合主讲教师资格的</w:t>
      </w:r>
      <w:r>
        <w:rPr>
          <w:rFonts w:ascii="仿宋_GB2312" w:eastAsia="仿宋_GB2312" w:hAnsi="宋体" w:cs="宋体" w:hint="eastAsia"/>
          <w:kern w:val="0"/>
          <w:sz w:val="28"/>
          <w:szCs w:val="28"/>
        </w:rPr>
        <w:t>人数为821人</w:t>
      </w:r>
      <w:r>
        <w:rPr>
          <w:rFonts w:ascii="仿宋_GB2312" w:eastAsia="仿宋_GB2312" w:hint="eastAsia"/>
          <w:sz w:val="28"/>
          <w:szCs w:val="28"/>
        </w:rPr>
        <w:t>。</w:t>
      </w:r>
    </w:p>
    <w:p w:rsidR="00E158AE" w:rsidRDefault="00E158AE" w:rsidP="00E158AE">
      <w:pPr>
        <w:spacing w:line="240" w:lineRule="atLeast"/>
        <w:jc w:val="center"/>
        <w:rPr>
          <w:rFonts w:ascii="仿宋_GB2312" w:eastAsia="仿宋_GB2312" w:hint="eastAsia"/>
          <w:b/>
          <w:szCs w:val="21"/>
        </w:rPr>
      </w:pPr>
    </w:p>
    <w:p w:rsidR="00E158AE" w:rsidRDefault="00E158AE" w:rsidP="00E158AE">
      <w:pPr>
        <w:spacing w:afterLines="20" w:after="62" w:line="240" w:lineRule="atLeast"/>
        <w:jc w:val="center"/>
        <w:rPr>
          <w:rFonts w:ascii="仿宋_GB2312" w:eastAsia="仿宋_GB2312" w:hint="eastAsia"/>
          <w:b/>
          <w:szCs w:val="21"/>
        </w:rPr>
      </w:pPr>
      <w:r>
        <w:rPr>
          <w:rFonts w:ascii="仿宋_GB2312" w:eastAsia="仿宋_GB2312" w:hint="eastAsia"/>
          <w:b/>
          <w:szCs w:val="21"/>
        </w:rPr>
        <w:t>2012年生师比情况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2279"/>
        <w:gridCol w:w="2279"/>
        <w:gridCol w:w="1640"/>
      </w:tblGrid>
      <w:tr w:rsidR="00E158AE" w:rsidTr="00E158AE">
        <w:trPr>
          <w:trHeight w:val="436"/>
          <w:jc w:val="center"/>
        </w:trPr>
        <w:tc>
          <w:tcPr>
            <w:tcW w:w="1968"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学生数</w:t>
            </w:r>
          </w:p>
        </w:tc>
        <w:tc>
          <w:tcPr>
            <w:tcW w:w="4558" w:type="dxa"/>
            <w:gridSpan w:val="2"/>
            <w:tcBorders>
              <w:top w:val="single" w:sz="4" w:space="0" w:color="auto"/>
              <w:left w:val="single" w:sz="4" w:space="0" w:color="auto"/>
              <w:bottom w:val="single" w:sz="4" w:space="0" w:color="auto"/>
              <w:right w:val="single" w:sz="4" w:space="0" w:color="auto"/>
            </w:tcBorders>
            <w:noWrap/>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教师数</w:t>
            </w:r>
          </w:p>
        </w:tc>
        <w:tc>
          <w:tcPr>
            <w:tcW w:w="1640" w:type="dxa"/>
            <w:vMerge w:val="restart"/>
            <w:tcBorders>
              <w:top w:val="single" w:sz="4" w:space="0" w:color="auto"/>
              <w:left w:val="single" w:sz="4" w:space="0" w:color="auto"/>
              <w:bottom w:val="single" w:sz="4" w:space="0" w:color="auto"/>
              <w:right w:val="single" w:sz="4" w:space="0" w:color="auto"/>
            </w:tcBorders>
            <w:noWrap/>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生师比</w:t>
            </w:r>
          </w:p>
        </w:tc>
      </w:tr>
      <w:tr w:rsidR="00E158AE" w:rsidTr="00E158AE">
        <w:trPr>
          <w:trHeight w:val="436"/>
          <w:jc w:val="center"/>
        </w:trPr>
        <w:tc>
          <w:tcPr>
            <w:tcW w:w="1968"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折合在校生数</w:t>
            </w:r>
          </w:p>
        </w:tc>
        <w:tc>
          <w:tcPr>
            <w:tcW w:w="227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专任教师</w:t>
            </w:r>
          </w:p>
        </w:tc>
        <w:tc>
          <w:tcPr>
            <w:tcW w:w="227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折合教师总数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r>
      <w:tr w:rsidR="00E158AE" w:rsidTr="00E158AE">
        <w:trPr>
          <w:trHeight w:val="436"/>
          <w:jc w:val="center"/>
        </w:trPr>
        <w:tc>
          <w:tcPr>
            <w:tcW w:w="1968"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14409</w:t>
            </w:r>
          </w:p>
        </w:tc>
        <w:tc>
          <w:tcPr>
            <w:tcW w:w="227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821</w:t>
            </w:r>
          </w:p>
        </w:tc>
        <w:tc>
          <w:tcPr>
            <w:tcW w:w="227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897</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spacing w:line="240" w:lineRule="atLeast"/>
              <w:jc w:val="center"/>
              <w:rPr>
                <w:rFonts w:ascii="仿宋_GB2312" w:eastAsia="仿宋_GB2312" w:hint="eastAsia"/>
                <w:szCs w:val="21"/>
              </w:rPr>
            </w:pPr>
            <w:r>
              <w:rPr>
                <w:rFonts w:ascii="仿宋_GB2312" w:eastAsia="仿宋_GB2312" w:hint="eastAsia"/>
                <w:szCs w:val="21"/>
              </w:rPr>
              <w:t>17.53</w:t>
            </w:r>
          </w:p>
        </w:tc>
      </w:tr>
    </w:tbl>
    <w:p w:rsidR="00E158AE" w:rsidRDefault="00E158AE" w:rsidP="00E158AE">
      <w:pPr>
        <w:pStyle w:val="Heading3"/>
        <w:spacing w:before="156"/>
        <w:rPr>
          <w:rFonts w:hint="eastAsia"/>
        </w:rPr>
      </w:pPr>
      <w:bookmarkStart w:id="40" w:name="_Toc339824616"/>
      <w:r>
        <w:rPr>
          <w:rFonts w:hint="eastAsia"/>
        </w:rPr>
        <w:t>三、教授、副教授上课情况</w:t>
      </w:r>
      <w:bookmarkEnd w:id="40"/>
    </w:p>
    <w:p w:rsidR="00E158AE" w:rsidRDefault="00E158AE" w:rsidP="00E158AE">
      <w:pPr>
        <w:ind w:firstLineChars="200" w:firstLine="560"/>
        <w:rPr>
          <w:rFonts w:ascii="仿宋_GB2312" w:eastAsia="仿宋_GB2312"/>
          <w:color w:val="000000"/>
          <w:sz w:val="28"/>
          <w:szCs w:val="28"/>
        </w:rPr>
      </w:pPr>
      <w:r>
        <w:rPr>
          <w:rFonts w:ascii="仿宋_GB2312" w:eastAsia="仿宋_GB2312" w:hAnsi="仿宋" w:hint="eastAsia"/>
          <w:color w:val="000000"/>
          <w:sz w:val="28"/>
          <w:szCs w:val="28"/>
        </w:rPr>
        <w:t>学校进一步强化“教授、副教授为本科生授课”的基本制度，</w:t>
      </w:r>
      <w:r>
        <w:rPr>
          <w:rFonts w:ascii="仿宋_GB2312" w:eastAsia="仿宋_GB2312" w:hAnsi="仿宋" w:cs="宋体" w:hint="eastAsia"/>
          <w:color w:val="000000"/>
          <w:kern w:val="0"/>
          <w:sz w:val="28"/>
          <w:szCs w:val="28"/>
        </w:rPr>
        <w:t>引导和鼓励教师静心教学、潜心育人，妥善处理教学、科研和社会服务的关系，把</w:t>
      </w:r>
      <w:r>
        <w:rPr>
          <w:rFonts w:ascii="仿宋_GB2312" w:eastAsia="仿宋_GB2312" w:hAnsi="仿宋" w:hint="eastAsia"/>
          <w:color w:val="000000"/>
          <w:sz w:val="28"/>
          <w:szCs w:val="28"/>
        </w:rPr>
        <w:t>“每学年必须为本科生授课”作为年度考核、副教授晋升教授、导师遴选与考核的基本条件，着力提</w:t>
      </w:r>
      <w:smartTag w:uri="urn:schemas-microsoft-com:office:smarttags" w:element="PersonName">
        <w:smartTagPr>
          <w:attr w:name="ProductID" w:val="高"/>
        </w:smartTagPr>
        <w:r>
          <w:rPr>
            <w:rFonts w:ascii="仿宋_GB2312" w:eastAsia="仿宋_GB2312" w:hAnsi="仿宋" w:hint="eastAsia"/>
            <w:color w:val="000000"/>
            <w:sz w:val="28"/>
            <w:szCs w:val="28"/>
          </w:rPr>
          <w:t>高</w:t>
        </w:r>
      </w:smartTag>
      <w:r>
        <w:rPr>
          <w:rFonts w:ascii="仿宋_GB2312" w:eastAsia="仿宋_GB2312" w:hAnsi="仿宋" w:hint="eastAsia"/>
          <w:color w:val="000000"/>
          <w:sz w:val="28"/>
          <w:szCs w:val="28"/>
        </w:rPr>
        <w:t>教授授课量在全校本科生总课时量中的比重。</w:t>
      </w:r>
      <w:r>
        <w:rPr>
          <w:rFonts w:ascii="仿宋_GB2312" w:eastAsia="仿宋_GB2312" w:hint="eastAsia"/>
          <w:color w:val="000000"/>
          <w:sz w:val="28"/>
          <w:szCs w:val="28"/>
        </w:rPr>
        <w:t>目前，法学14门核心课程均由学科带头人担任主讲教师，非法学核心课程由学科带头人担任主讲教师的达到40%以上。</w:t>
      </w:r>
      <w:smartTag w:uri="urn:schemas-microsoft-com:office:smarttags" w:element="PersonName">
        <w:smartTagPr>
          <w:attr w:name="ProductID" w:val="全校"/>
        </w:smartTagPr>
        <w:r>
          <w:rPr>
            <w:rFonts w:ascii="仿宋_GB2312" w:eastAsia="仿宋_GB2312" w:hint="eastAsia"/>
            <w:color w:val="000000"/>
            <w:sz w:val="28"/>
            <w:szCs w:val="28"/>
          </w:rPr>
          <w:t>全校</w:t>
        </w:r>
      </w:smartTag>
      <w:r>
        <w:rPr>
          <w:rFonts w:ascii="仿宋_GB2312" w:eastAsia="仿宋_GB2312" w:hint="eastAsia"/>
          <w:color w:val="000000"/>
          <w:sz w:val="28"/>
          <w:szCs w:val="28"/>
        </w:rPr>
        <w:t>教授、副教授为本科生授课比例达到93.16%。</w:t>
      </w:r>
    </w:p>
    <w:p w:rsidR="00E158AE" w:rsidRDefault="00E158AE" w:rsidP="00E158AE">
      <w:pPr>
        <w:jc w:val="center"/>
        <w:rPr>
          <w:rFonts w:ascii="仿宋_GB2312" w:eastAsia="仿宋_GB2312" w:hint="eastAsia"/>
          <w:b/>
          <w:szCs w:val="21"/>
        </w:rPr>
      </w:pPr>
    </w:p>
    <w:p w:rsidR="00E158AE" w:rsidRDefault="00E158AE" w:rsidP="00E158AE">
      <w:pPr>
        <w:spacing w:afterLines="20" w:after="62" w:line="240" w:lineRule="atLeast"/>
        <w:jc w:val="center"/>
        <w:rPr>
          <w:rFonts w:ascii="仿宋_GB2312" w:eastAsia="仿宋_GB2312" w:hint="eastAsia"/>
          <w:b/>
          <w:szCs w:val="21"/>
        </w:rPr>
      </w:pPr>
      <w:r>
        <w:rPr>
          <w:rFonts w:ascii="仿宋_GB2312" w:eastAsia="仿宋_GB2312" w:hint="eastAsia"/>
          <w:b/>
          <w:szCs w:val="21"/>
        </w:rPr>
        <w:lastRenderedPageBreak/>
        <w:t>2012年教授</w:t>
      </w:r>
      <w:smartTag w:uri="urn:schemas-microsoft-com:office:smarttags" w:element="PersonName">
        <w:smartTagPr>
          <w:attr w:name="ProductID" w:val="和副"/>
        </w:smartTagPr>
        <w:r>
          <w:rPr>
            <w:rFonts w:ascii="仿宋_GB2312" w:eastAsia="仿宋_GB2312" w:hint="eastAsia"/>
            <w:b/>
            <w:szCs w:val="21"/>
          </w:rPr>
          <w:t>和副</w:t>
        </w:r>
      </w:smartTag>
      <w:r>
        <w:rPr>
          <w:rFonts w:ascii="仿宋_GB2312" w:eastAsia="仿宋_GB2312" w:hint="eastAsia"/>
          <w:b/>
          <w:szCs w:val="21"/>
        </w:rPr>
        <w:t>教授为本科生授课情况统计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153"/>
        <w:gridCol w:w="851"/>
        <w:gridCol w:w="1132"/>
        <w:gridCol w:w="1133"/>
        <w:gridCol w:w="1133"/>
        <w:gridCol w:w="1224"/>
      </w:tblGrid>
      <w:tr w:rsidR="00E158AE" w:rsidTr="00E158AE">
        <w:trPr>
          <w:trHeight w:val="454"/>
          <w:jc w:val="center"/>
        </w:trPr>
        <w:tc>
          <w:tcPr>
            <w:tcW w:w="3156" w:type="dxa"/>
            <w:gridSpan w:val="3"/>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在编在岗教授</w:t>
            </w:r>
            <w:smartTag w:uri="urn:schemas-microsoft-com:office:smarttags" w:element="PersonName">
              <w:smartTagPr>
                <w:attr w:name="ProductID" w:val="和副"/>
              </w:smartTagPr>
              <w:r>
                <w:rPr>
                  <w:rFonts w:ascii="仿宋_GB2312" w:eastAsia="仿宋_GB2312" w:hint="eastAsia"/>
                </w:rPr>
                <w:t>和副</w:t>
              </w:r>
            </w:smartTag>
            <w:r>
              <w:rPr>
                <w:rFonts w:ascii="仿宋_GB2312" w:eastAsia="仿宋_GB2312" w:hint="eastAsia"/>
              </w:rPr>
              <w:t>教授人数</w:t>
            </w:r>
          </w:p>
        </w:tc>
        <w:tc>
          <w:tcPr>
            <w:tcW w:w="3398" w:type="dxa"/>
            <w:gridSpan w:val="3"/>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教授</w:t>
            </w:r>
            <w:smartTag w:uri="urn:schemas-microsoft-com:office:smarttags" w:element="PersonName">
              <w:smartTagPr>
                <w:attr w:name="ProductID" w:val="和副"/>
              </w:smartTagPr>
              <w:r>
                <w:rPr>
                  <w:rFonts w:ascii="仿宋_GB2312" w:eastAsia="仿宋_GB2312" w:hint="eastAsia"/>
                </w:rPr>
                <w:t>和副</w:t>
              </w:r>
            </w:smartTag>
            <w:r>
              <w:rPr>
                <w:rFonts w:ascii="仿宋_GB2312" w:eastAsia="仿宋_GB2312" w:hint="eastAsia"/>
              </w:rPr>
              <w:t>教授为本科生授课人数</w:t>
            </w:r>
          </w:p>
        </w:tc>
        <w:tc>
          <w:tcPr>
            <w:tcW w:w="1224" w:type="dxa"/>
            <w:vMerge w:val="restart"/>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授课</w:t>
            </w:r>
          </w:p>
          <w:p w:rsidR="00E158AE" w:rsidRDefault="00E158AE">
            <w:pPr>
              <w:jc w:val="center"/>
              <w:rPr>
                <w:rFonts w:ascii="仿宋_GB2312" w:eastAsia="仿宋_GB2312" w:hint="eastAsia"/>
              </w:rPr>
            </w:pPr>
            <w:r>
              <w:rPr>
                <w:rFonts w:ascii="仿宋_GB2312" w:eastAsia="仿宋_GB2312" w:hint="eastAsia"/>
              </w:rPr>
              <w:t>比例（%）</w:t>
            </w:r>
          </w:p>
        </w:tc>
      </w:tr>
      <w:tr w:rsidR="00E158AE" w:rsidTr="00E158AE">
        <w:trPr>
          <w:trHeight w:val="105"/>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合计</w:t>
            </w:r>
          </w:p>
        </w:tc>
        <w:tc>
          <w:tcPr>
            <w:tcW w:w="115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教授</w:t>
            </w:r>
          </w:p>
        </w:tc>
        <w:tc>
          <w:tcPr>
            <w:tcW w:w="85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副教授</w:t>
            </w:r>
          </w:p>
        </w:tc>
        <w:tc>
          <w:tcPr>
            <w:tcW w:w="113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合计</w:t>
            </w:r>
          </w:p>
        </w:tc>
        <w:tc>
          <w:tcPr>
            <w:tcW w:w="113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教授</w:t>
            </w:r>
          </w:p>
        </w:tc>
        <w:tc>
          <w:tcPr>
            <w:tcW w:w="113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副教授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rPr>
            </w:pPr>
          </w:p>
        </w:tc>
      </w:tr>
      <w:tr w:rsidR="00E158AE" w:rsidTr="00E158AE">
        <w:trPr>
          <w:trHeight w:val="227"/>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629</w:t>
            </w:r>
          </w:p>
        </w:tc>
        <w:tc>
          <w:tcPr>
            <w:tcW w:w="115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253</w:t>
            </w:r>
          </w:p>
        </w:tc>
        <w:tc>
          <w:tcPr>
            <w:tcW w:w="85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376</w:t>
            </w:r>
          </w:p>
        </w:tc>
        <w:tc>
          <w:tcPr>
            <w:tcW w:w="113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586</w:t>
            </w:r>
          </w:p>
        </w:tc>
        <w:tc>
          <w:tcPr>
            <w:tcW w:w="113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210</w:t>
            </w:r>
          </w:p>
        </w:tc>
        <w:tc>
          <w:tcPr>
            <w:tcW w:w="113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376</w:t>
            </w:r>
          </w:p>
        </w:tc>
        <w:tc>
          <w:tcPr>
            <w:tcW w:w="1224"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93.16</w:t>
            </w:r>
          </w:p>
        </w:tc>
      </w:tr>
    </w:tbl>
    <w:p w:rsidR="00E158AE" w:rsidRDefault="00E158AE" w:rsidP="00E158AE">
      <w:pPr>
        <w:ind w:firstLineChars="200" w:firstLine="560"/>
        <w:rPr>
          <w:rFonts w:ascii="仿宋_GB2312" w:eastAsia="仿宋_GB2312" w:hAnsi="仿宋" w:hint="eastAsia"/>
          <w:bCs/>
          <w:color w:val="000000"/>
          <w:sz w:val="28"/>
          <w:szCs w:val="28"/>
        </w:rPr>
      </w:pPr>
      <w:r>
        <w:rPr>
          <w:rFonts w:ascii="仿宋_GB2312" w:eastAsia="仿宋_GB2312" w:hAnsi="仿宋" w:hint="eastAsia"/>
          <w:sz w:val="28"/>
          <w:szCs w:val="28"/>
        </w:rPr>
        <w:t>学校重点加强高层次领军人才和青年拔尖人才队伍的建设，大幅度提升师资队伍的国际化水平，以此带动师资队伍整体素</w:t>
      </w:r>
      <w:r>
        <w:rPr>
          <w:rFonts w:ascii="仿宋_GB2312" w:eastAsia="仿宋_GB2312" w:hAnsi="仿宋" w:hint="eastAsia"/>
          <w:color w:val="000000"/>
          <w:sz w:val="28"/>
          <w:szCs w:val="28"/>
        </w:rPr>
        <w:t>质的提高。</w:t>
      </w:r>
      <w:r>
        <w:rPr>
          <w:rFonts w:ascii="仿宋_GB2312" w:eastAsia="仿宋_GB2312" w:hint="eastAsia"/>
          <w:color w:val="000000"/>
          <w:sz w:val="28"/>
          <w:szCs w:val="28"/>
        </w:rPr>
        <w:t>截止2012年年底，共有150人次获得“全国十大杰出青年法学家”称号、</w:t>
      </w:r>
      <w:r>
        <w:rPr>
          <w:rFonts w:ascii="仿宋_GB2312" w:eastAsia="仿宋_GB2312" w:hint="eastAsia"/>
          <w:bCs/>
          <w:color w:val="000000"/>
          <w:sz w:val="28"/>
          <w:szCs w:val="28"/>
        </w:rPr>
        <w:t>“</w:t>
      </w:r>
      <w:r>
        <w:rPr>
          <w:rFonts w:ascii="仿宋_GB2312" w:eastAsia="仿宋_GB2312" w:hAnsi="仿宋" w:hint="eastAsia"/>
          <w:bCs/>
          <w:color w:val="000000"/>
          <w:sz w:val="28"/>
          <w:szCs w:val="28"/>
        </w:rPr>
        <w:t>长江学者</w:t>
      </w:r>
      <w:r>
        <w:rPr>
          <w:rFonts w:ascii="仿宋_GB2312" w:eastAsia="仿宋_GB2312" w:hint="eastAsia"/>
          <w:bCs/>
          <w:color w:val="000000"/>
          <w:sz w:val="28"/>
          <w:szCs w:val="28"/>
        </w:rPr>
        <w:t>”</w:t>
      </w:r>
      <w:r>
        <w:rPr>
          <w:rFonts w:ascii="仿宋_GB2312" w:eastAsia="仿宋_GB2312" w:hAnsi="仿宋" w:hint="eastAsia"/>
          <w:bCs/>
          <w:color w:val="000000"/>
          <w:sz w:val="28"/>
          <w:szCs w:val="28"/>
        </w:rPr>
        <w:t>特聘教授、</w:t>
      </w:r>
      <w:r>
        <w:rPr>
          <w:rFonts w:ascii="仿宋_GB2312" w:eastAsia="仿宋_GB2312" w:hint="eastAsia"/>
          <w:bCs/>
          <w:color w:val="000000"/>
          <w:sz w:val="28"/>
          <w:szCs w:val="28"/>
        </w:rPr>
        <w:t>“</w:t>
      </w:r>
      <w:r>
        <w:rPr>
          <w:rFonts w:ascii="仿宋_GB2312" w:eastAsia="仿宋_GB2312" w:hAnsi="仿宋" w:hint="eastAsia"/>
          <w:bCs/>
          <w:color w:val="000000"/>
          <w:sz w:val="28"/>
          <w:szCs w:val="28"/>
        </w:rPr>
        <w:t>新世纪优秀人才支持计划</w:t>
      </w:r>
      <w:r>
        <w:rPr>
          <w:rFonts w:ascii="仿宋_GB2312" w:eastAsia="仿宋_GB2312" w:hint="eastAsia"/>
          <w:bCs/>
          <w:color w:val="000000"/>
          <w:sz w:val="28"/>
          <w:szCs w:val="28"/>
        </w:rPr>
        <w:t>”</w:t>
      </w:r>
      <w:r>
        <w:rPr>
          <w:rFonts w:ascii="仿宋_GB2312" w:eastAsia="仿宋_GB2312" w:hint="eastAsia"/>
          <w:color w:val="000000"/>
          <w:sz w:val="28"/>
          <w:szCs w:val="28"/>
        </w:rPr>
        <w:t>等</w:t>
      </w:r>
      <w:r>
        <w:rPr>
          <w:rFonts w:ascii="仿宋_GB2312" w:eastAsia="仿宋_GB2312" w:hAnsi="仿宋" w:hint="eastAsia"/>
          <w:bCs/>
          <w:color w:val="000000"/>
          <w:sz w:val="28"/>
          <w:szCs w:val="28"/>
        </w:rPr>
        <w:t>省部级以上荣誉称号或入选相关项目。</w:t>
      </w:r>
    </w:p>
    <w:p w:rsidR="00E158AE" w:rsidRDefault="00E158AE" w:rsidP="00E158AE">
      <w:pPr>
        <w:spacing w:afterLines="20" w:after="62" w:line="240" w:lineRule="atLeast"/>
        <w:jc w:val="center"/>
        <w:rPr>
          <w:rFonts w:ascii="仿宋_GB2312" w:eastAsia="仿宋_GB2312" w:hint="eastAsia"/>
          <w:b/>
          <w:color w:val="000000"/>
          <w:szCs w:val="21"/>
        </w:rPr>
      </w:pPr>
    </w:p>
    <w:p w:rsidR="00E158AE" w:rsidRDefault="00E158AE" w:rsidP="00E158AE">
      <w:pPr>
        <w:spacing w:afterLines="20" w:after="62" w:line="240" w:lineRule="atLeast"/>
        <w:jc w:val="center"/>
        <w:rPr>
          <w:rFonts w:ascii="仿宋_GB2312" w:eastAsia="仿宋_GB2312" w:hint="eastAsia"/>
          <w:b/>
          <w:color w:val="000000"/>
          <w:szCs w:val="21"/>
        </w:rPr>
      </w:pPr>
      <w:r>
        <w:rPr>
          <w:rFonts w:ascii="仿宋_GB2312" w:eastAsia="仿宋_GB2312" w:hint="eastAsia"/>
          <w:b/>
          <w:color w:val="000000"/>
          <w:szCs w:val="21"/>
        </w:rPr>
        <w:t>师资队伍建设标志性成果</w:t>
      </w: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9"/>
        <w:gridCol w:w="1985"/>
      </w:tblGrid>
      <w:tr w:rsidR="00E158AE" w:rsidTr="00E158AE">
        <w:trPr>
          <w:trHeight w:val="414"/>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指标</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人数</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国务院特殊津贴获得者</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41</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全国十大杰出青年法学家</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7</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国家千人计划入选者</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1</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长江学者特聘教授</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1</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长江学者讲座教授</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1</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“长江学者和创新团队发展计划”创新团队</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47</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青年拔尖人才</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1</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青年教师奖获得者</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2</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新（跨）世纪百千万人才工程</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3</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新世纪优秀人才支持计划入选者</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26</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国家级教学名师奖获得者</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1</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全国优秀教师</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2</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北京市高等学校教学名师奖</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13</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首都十大杰出青年法学家</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1</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国务院学位委员会法学学科评议组成员</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1</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北京市学位委员会法学学科评议组成员</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2</w:t>
            </w:r>
          </w:p>
        </w:tc>
      </w:tr>
      <w:tr w:rsidR="00E158AE" w:rsidTr="00E158AE">
        <w:trPr>
          <w:trHeight w:val="300"/>
          <w:jc w:val="center"/>
        </w:trPr>
        <w:tc>
          <w:tcPr>
            <w:tcW w:w="60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北京市学位委员会哲学学科评议组成员</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jc w:val="center"/>
              <w:rPr>
                <w:rFonts w:ascii="仿宋_GB2312" w:eastAsia="仿宋_GB2312" w:hint="eastAsia"/>
                <w:color w:val="000000"/>
                <w:szCs w:val="21"/>
              </w:rPr>
            </w:pPr>
            <w:r>
              <w:rPr>
                <w:rFonts w:ascii="仿宋_GB2312" w:eastAsia="仿宋_GB2312" w:hint="eastAsia"/>
                <w:color w:val="000000"/>
                <w:szCs w:val="21"/>
              </w:rPr>
              <w:t>1</w:t>
            </w:r>
          </w:p>
        </w:tc>
      </w:tr>
    </w:tbl>
    <w:p w:rsidR="00E158AE" w:rsidRDefault="00E158AE" w:rsidP="00E158AE">
      <w:pPr>
        <w:spacing w:line="360" w:lineRule="auto"/>
        <w:rPr>
          <w:rFonts w:ascii="仿宋_GB2312" w:eastAsia="仿宋_GB2312" w:hint="eastAsia"/>
          <w:color w:val="000000"/>
          <w:szCs w:val="21"/>
        </w:rPr>
      </w:pPr>
    </w:p>
    <w:p w:rsidR="00E158AE" w:rsidRDefault="00E158AE" w:rsidP="00E158AE">
      <w:pPr>
        <w:pStyle w:val="Heading2"/>
        <w:spacing w:before="156"/>
        <w:rPr>
          <w:rFonts w:hint="eastAsia"/>
        </w:rPr>
      </w:pPr>
      <w:bookmarkStart w:id="41" w:name="_Toc339824617"/>
      <w:bookmarkStart w:id="42" w:name="_Toc339118961"/>
      <w:r>
        <w:rPr>
          <w:rFonts w:hint="eastAsia"/>
        </w:rPr>
        <w:t>第三部分 教学条件建设</w:t>
      </w:r>
      <w:bookmarkEnd w:id="41"/>
      <w:bookmarkEnd w:id="42"/>
      <w:r>
        <w:rPr>
          <w:rFonts w:hint="eastAsia"/>
        </w:rPr>
        <w:t xml:space="preserve"> </w:t>
      </w:r>
    </w:p>
    <w:p w:rsidR="00E158AE" w:rsidRDefault="00E158AE" w:rsidP="00E158AE">
      <w:pPr>
        <w:pStyle w:val="Heading3"/>
        <w:spacing w:before="156"/>
        <w:rPr>
          <w:rFonts w:hint="eastAsia"/>
        </w:rPr>
      </w:pPr>
      <w:bookmarkStart w:id="43" w:name="_Toc339824618"/>
      <w:r>
        <w:rPr>
          <w:rFonts w:hint="eastAsia"/>
        </w:rPr>
        <w:t>一、教学基本设施</w:t>
      </w:r>
      <w:bookmarkEnd w:id="43"/>
    </w:p>
    <w:p w:rsidR="00E158AE" w:rsidRDefault="00E158AE" w:rsidP="00E158AE">
      <w:pPr>
        <w:ind w:firstLineChars="200" w:firstLine="560"/>
        <w:rPr>
          <w:rFonts w:ascii="仿宋_GB2312" w:eastAsia="仿宋_GB2312"/>
          <w:sz w:val="28"/>
          <w:szCs w:val="28"/>
        </w:rPr>
      </w:pPr>
      <w:r>
        <w:rPr>
          <w:rFonts w:ascii="仿宋_GB2312" w:eastAsia="仿宋_GB2312" w:hint="eastAsia"/>
          <w:sz w:val="28"/>
          <w:szCs w:val="28"/>
        </w:rPr>
        <w:t>1.校舍建设</w:t>
      </w:r>
    </w:p>
    <w:p w:rsidR="00E158AE" w:rsidRDefault="00E158AE" w:rsidP="00E158AE">
      <w:pPr>
        <w:ind w:firstLineChars="200" w:firstLine="560"/>
        <w:rPr>
          <w:rFonts w:ascii="仿宋_GB2312" w:eastAsia="仿宋_GB2312" w:hint="eastAsia"/>
          <w:sz w:val="28"/>
          <w:szCs w:val="28"/>
        </w:rPr>
      </w:pPr>
      <w:r>
        <w:rPr>
          <w:rFonts w:ascii="仿宋_GB2312" w:eastAsia="仿宋_GB2312" w:hint="eastAsia"/>
          <w:sz w:val="28"/>
          <w:szCs w:val="28"/>
        </w:rPr>
        <w:lastRenderedPageBreak/>
        <w:t>学校现有校园面积</w:t>
      </w:r>
      <w:smartTag w:uri="urn:schemas-microsoft-com:office:smarttags" w:element="chmetcnv">
        <w:smartTagPr>
          <w:attr w:name="TCSC" w:val="0"/>
          <w:attr w:name="NumberType" w:val="1"/>
          <w:attr w:name="Negative" w:val="False"/>
          <w:attr w:name="HasSpace" w:val="False"/>
          <w:attr w:name="SourceValue" w:val="487358"/>
          <w:attr w:name="UnitName" w:val="平方米"/>
        </w:smartTagPr>
        <w:r>
          <w:rPr>
            <w:rFonts w:ascii="仿宋_GB2312" w:eastAsia="仿宋_GB2312" w:hint="eastAsia"/>
            <w:sz w:val="28"/>
            <w:szCs w:val="28"/>
          </w:rPr>
          <w:t>487358平方米</w:t>
        </w:r>
      </w:smartTag>
      <w:r>
        <w:rPr>
          <w:rFonts w:ascii="仿宋_GB2312" w:eastAsia="仿宋_GB2312" w:hint="eastAsia"/>
          <w:sz w:val="28"/>
          <w:szCs w:val="28"/>
        </w:rPr>
        <w:t>。生均占地面积33.91平方米。现有教学用房</w:t>
      </w:r>
      <w:smartTag w:uri="urn:schemas-microsoft-com:office:smarttags" w:element="chmetcnv">
        <w:smartTagPr>
          <w:attr w:name="TCSC" w:val="0"/>
          <w:attr w:name="NumberType" w:val="1"/>
          <w:attr w:name="Negative" w:val="False"/>
          <w:attr w:name="HasSpace" w:val="False"/>
          <w:attr w:name="SourceValue" w:val="93434"/>
          <w:attr w:name="UnitName" w:val="平方米"/>
        </w:smartTagPr>
        <w:r>
          <w:rPr>
            <w:rFonts w:ascii="仿宋_GB2312" w:eastAsia="仿宋_GB2312" w:hint="eastAsia"/>
            <w:sz w:val="28"/>
            <w:szCs w:val="28"/>
          </w:rPr>
          <w:t>93434平方米</w:t>
        </w:r>
      </w:smartTag>
      <w:r>
        <w:rPr>
          <w:rFonts w:ascii="仿宋_GB2312" w:eastAsia="仿宋_GB2312" w:hint="eastAsia"/>
          <w:sz w:val="28"/>
          <w:szCs w:val="28"/>
        </w:rPr>
        <w:t>，图书馆</w:t>
      </w:r>
      <w:smartTag w:uri="urn:schemas-microsoft-com:office:smarttags" w:element="chmetcnv">
        <w:smartTagPr>
          <w:attr w:name="TCSC" w:val="0"/>
          <w:attr w:name="NumberType" w:val="1"/>
          <w:attr w:name="Negative" w:val="False"/>
          <w:attr w:name="HasSpace" w:val="False"/>
          <w:attr w:name="SourceValue" w:val="20393"/>
          <w:attr w:name="UnitName" w:val="平方米"/>
        </w:smartTagPr>
        <w:r>
          <w:rPr>
            <w:rFonts w:ascii="仿宋_GB2312" w:eastAsia="仿宋_GB2312" w:hint="eastAsia"/>
            <w:sz w:val="28"/>
            <w:szCs w:val="28"/>
          </w:rPr>
          <w:t>20393平方米</w:t>
        </w:r>
      </w:smartTag>
      <w:r>
        <w:rPr>
          <w:rFonts w:ascii="仿宋_GB2312" w:eastAsia="仿宋_GB2312" w:hint="eastAsia"/>
          <w:sz w:val="28"/>
          <w:szCs w:val="28"/>
        </w:rPr>
        <w:t>，实验用房</w:t>
      </w:r>
      <w:smartTag w:uri="urn:schemas-microsoft-com:office:smarttags" w:element="chmetcnv">
        <w:smartTagPr>
          <w:attr w:name="TCSC" w:val="0"/>
          <w:attr w:name="NumberType" w:val="1"/>
          <w:attr w:name="Negative" w:val="False"/>
          <w:attr w:name="HasSpace" w:val="False"/>
          <w:attr w:name="SourceValue" w:val="10690"/>
          <w:attr w:name="UnitName" w:val="平方米"/>
        </w:smartTagPr>
        <w:r>
          <w:rPr>
            <w:rFonts w:ascii="仿宋_GB2312" w:eastAsia="仿宋_GB2312" w:hint="eastAsia"/>
            <w:sz w:val="28"/>
            <w:szCs w:val="28"/>
          </w:rPr>
          <w:t>10690平方米</w:t>
        </w:r>
      </w:smartTag>
      <w:r>
        <w:rPr>
          <w:rFonts w:ascii="仿宋_GB2312" w:eastAsia="仿宋_GB2312" w:hint="eastAsia"/>
          <w:sz w:val="28"/>
          <w:szCs w:val="28"/>
        </w:rPr>
        <w:t>（包括科研用房），运动场地</w:t>
      </w:r>
      <w:smartTag w:uri="urn:schemas-microsoft-com:office:smarttags" w:element="chmetcnv">
        <w:smartTagPr>
          <w:attr w:name="TCSC" w:val="0"/>
          <w:attr w:name="NumberType" w:val="1"/>
          <w:attr w:name="Negative" w:val="False"/>
          <w:attr w:name="HasSpace" w:val="False"/>
          <w:attr w:name="SourceValue" w:val="40677"/>
          <w:attr w:name="UnitName" w:val="平方米"/>
        </w:smartTagPr>
        <w:r>
          <w:rPr>
            <w:rFonts w:ascii="仿宋_GB2312" w:eastAsia="仿宋_GB2312" w:hint="eastAsia"/>
            <w:sz w:val="28"/>
            <w:szCs w:val="28"/>
          </w:rPr>
          <w:t>40677平方米</w:t>
        </w:r>
      </w:smartTag>
      <w:r>
        <w:rPr>
          <w:rFonts w:ascii="仿宋_GB2312" w:eastAsia="仿宋_GB2312" w:hint="eastAsia"/>
          <w:sz w:val="28"/>
          <w:szCs w:val="28"/>
        </w:rPr>
        <w:t>，学生宿舍142673平方米。</w:t>
      </w:r>
    </w:p>
    <w:p w:rsidR="00E158AE" w:rsidRDefault="00E158AE" w:rsidP="00E158AE">
      <w:pPr>
        <w:spacing w:afterLines="20" w:after="62" w:line="240" w:lineRule="atLeast"/>
        <w:jc w:val="center"/>
        <w:rPr>
          <w:rFonts w:ascii="仿宋_GB2312" w:eastAsia="仿宋_GB2312" w:hint="eastAsia"/>
          <w:b/>
          <w:szCs w:val="21"/>
        </w:rPr>
      </w:pPr>
    </w:p>
    <w:p w:rsidR="00E158AE" w:rsidRDefault="00E158AE" w:rsidP="00E158AE">
      <w:pPr>
        <w:spacing w:afterLines="20" w:after="62" w:line="240" w:lineRule="atLeast"/>
        <w:jc w:val="center"/>
        <w:rPr>
          <w:rFonts w:ascii="仿宋_GB2312" w:eastAsia="仿宋_GB2312" w:hint="eastAsia"/>
          <w:b/>
          <w:szCs w:val="21"/>
        </w:rPr>
      </w:pPr>
      <w:r>
        <w:rPr>
          <w:rFonts w:ascii="仿宋_GB2312" w:eastAsia="仿宋_GB2312" w:hint="eastAsia"/>
          <w:b/>
          <w:szCs w:val="21"/>
        </w:rPr>
        <w:t>2012年基本办学条件现状一览表</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286"/>
        <w:gridCol w:w="1697"/>
        <w:gridCol w:w="2113"/>
      </w:tblGrid>
      <w:tr w:rsidR="00E158AE" w:rsidTr="00E158AE">
        <w:trPr>
          <w:trHeight w:val="184"/>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指标</w:t>
            </w:r>
          </w:p>
        </w:tc>
        <w:tc>
          <w:tcPr>
            <w:tcW w:w="22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目前总量（平方米）</w:t>
            </w:r>
          </w:p>
        </w:tc>
        <w:tc>
          <w:tcPr>
            <w:tcW w:w="1697"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全日制在校生数</w:t>
            </w:r>
          </w:p>
        </w:tc>
        <w:tc>
          <w:tcPr>
            <w:tcW w:w="211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均值（平方米）</w:t>
            </w:r>
          </w:p>
        </w:tc>
      </w:tr>
      <w:tr w:rsidR="00E158AE" w:rsidTr="00E158AE">
        <w:trPr>
          <w:trHeight w:val="186"/>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生均占地面积</w:t>
            </w:r>
          </w:p>
        </w:tc>
        <w:tc>
          <w:tcPr>
            <w:tcW w:w="22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487358</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14372人</w:t>
            </w:r>
          </w:p>
        </w:tc>
        <w:tc>
          <w:tcPr>
            <w:tcW w:w="211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33.91</w:t>
            </w:r>
          </w:p>
        </w:tc>
      </w:tr>
      <w:tr w:rsidR="00E158AE" w:rsidTr="00E158AE">
        <w:trPr>
          <w:trHeight w:val="177"/>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生均教学行政用房</w:t>
            </w:r>
          </w:p>
        </w:tc>
        <w:tc>
          <w:tcPr>
            <w:tcW w:w="22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93434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rPr>
            </w:pPr>
          </w:p>
        </w:tc>
        <w:tc>
          <w:tcPr>
            <w:tcW w:w="211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6.50</w:t>
            </w:r>
          </w:p>
        </w:tc>
      </w:tr>
      <w:tr w:rsidR="00E158AE" w:rsidTr="00E158AE">
        <w:trPr>
          <w:trHeight w:val="167"/>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生均宿舍面积</w:t>
            </w:r>
          </w:p>
        </w:tc>
        <w:tc>
          <w:tcPr>
            <w:tcW w:w="22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142673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rPr>
            </w:pPr>
          </w:p>
        </w:tc>
        <w:tc>
          <w:tcPr>
            <w:tcW w:w="211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9.93</w:t>
            </w:r>
          </w:p>
        </w:tc>
      </w:tr>
      <w:tr w:rsidR="00E158AE" w:rsidTr="00E158AE">
        <w:trPr>
          <w:trHeight w:val="205"/>
          <w:jc w:val="center"/>
        </w:trPr>
        <w:tc>
          <w:tcPr>
            <w:tcW w:w="207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生均实验室面积</w:t>
            </w:r>
          </w:p>
        </w:tc>
        <w:tc>
          <w:tcPr>
            <w:tcW w:w="22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10690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rPr>
            </w:pPr>
          </w:p>
        </w:tc>
        <w:tc>
          <w:tcPr>
            <w:tcW w:w="211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0.74</w:t>
            </w:r>
          </w:p>
        </w:tc>
      </w:tr>
    </w:tbl>
    <w:p w:rsidR="00E158AE" w:rsidRDefault="00E158AE" w:rsidP="00E158AE">
      <w:pPr>
        <w:ind w:firstLineChars="200" w:firstLine="560"/>
        <w:rPr>
          <w:rFonts w:ascii="仿宋_GB2312" w:eastAsia="仿宋_GB2312" w:hint="eastAsia"/>
          <w:sz w:val="28"/>
          <w:szCs w:val="28"/>
        </w:rPr>
      </w:pPr>
      <w:r>
        <w:rPr>
          <w:rFonts w:ascii="仿宋_GB2312" w:eastAsia="仿宋_GB2312" w:hint="eastAsia"/>
          <w:sz w:val="28"/>
          <w:szCs w:val="28"/>
        </w:rPr>
        <w:t xml:space="preserve">2.实验室、实习基地建设 </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sz w:val="28"/>
          <w:szCs w:val="28"/>
        </w:rPr>
        <w:t>学校按照“合理布局、阶段推进、突出特色、提高效用”的原则，大力改善实验室条件。我校拥有配</w:t>
      </w:r>
      <w:r>
        <w:rPr>
          <w:rFonts w:ascii="仿宋_GB2312" w:eastAsia="仿宋_GB2312" w:hint="eastAsia"/>
          <w:color w:val="000000"/>
          <w:sz w:val="28"/>
          <w:szCs w:val="28"/>
        </w:rPr>
        <w:t>置完备、设备先进、特色鲜明的实验室，其中包括1个教育部重点实验室、1个国家级法学实验教学示范中心、1个北京市级法学实验教学示范中心、4个公共教学实验室、9个专业实验室。通过严格管理、创新机制、理顺关系，最大限度地扩展实验室的教学功能，提高利用率，使实验室成为学校教学科研中的重要组成部分，在培养学生的创新精神和实践能力方面发挥了重要作用。</w:t>
      </w:r>
    </w:p>
    <w:p w:rsidR="00E158AE" w:rsidRDefault="00E158AE" w:rsidP="00E158AE">
      <w:pPr>
        <w:ind w:firstLineChars="200" w:firstLine="560"/>
        <w:rPr>
          <w:rFonts w:ascii="仿宋_GB2312" w:eastAsia="仿宋_GB2312" w:hint="eastAsia"/>
          <w:sz w:val="28"/>
          <w:szCs w:val="28"/>
        </w:rPr>
      </w:pPr>
      <w:r>
        <w:rPr>
          <w:rFonts w:ascii="仿宋_GB2312" w:eastAsia="仿宋_GB2312" w:hint="eastAsia"/>
          <w:color w:val="000000"/>
          <w:sz w:val="28"/>
          <w:szCs w:val="28"/>
        </w:rPr>
        <w:t>近年来，学校重点发展了一批专业性强、有一定影响力、能体现不同地域、不同行业特点的基层单位作为基地建设合作对象，建立了稳定的校外实践教学基地290个。2008年和2010年，学校与北京市海淀区人民法院、德恒律师事务所共建的校外人才培养基地分别被确立为</w:t>
      </w:r>
      <w:r>
        <w:rPr>
          <w:rFonts w:ascii="仿宋_GB2312" w:eastAsia="仿宋_GB2312" w:hint="eastAsia"/>
          <w:sz w:val="28"/>
          <w:szCs w:val="28"/>
        </w:rPr>
        <w:t>北京市市级校外人才培养基地，获得60万元的专项建设经费。</w:t>
      </w:r>
    </w:p>
    <w:p w:rsidR="00E158AE" w:rsidRDefault="00E158AE" w:rsidP="00E158AE">
      <w:pPr>
        <w:ind w:firstLineChars="200" w:firstLine="560"/>
        <w:rPr>
          <w:rFonts w:ascii="仿宋_GB2312" w:eastAsia="仿宋_GB2312" w:hint="eastAsia"/>
          <w:sz w:val="28"/>
          <w:szCs w:val="28"/>
        </w:rPr>
      </w:pPr>
      <w:r>
        <w:rPr>
          <w:rFonts w:ascii="仿宋_GB2312" w:eastAsia="仿宋_GB2312" w:hint="eastAsia"/>
          <w:sz w:val="28"/>
          <w:szCs w:val="28"/>
        </w:rPr>
        <w:lastRenderedPageBreak/>
        <w:t>2012年，学校拥有教学科研实验仪器设备总值</w:t>
      </w:r>
      <w:r>
        <w:rPr>
          <w:rFonts w:ascii="仿宋_GB2312" w:eastAsia="仿宋_GB2312" w:hAnsi="宋体" w:hint="eastAsia"/>
          <w:bCs/>
          <w:sz w:val="28"/>
          <w:szCs w:val="28"/>
        </w:rPr>
        <w:t>12280.21</w:t>
      </w:r>
      <w:r>
        <w:rPr>
          <w:rFonts w:ascii="仿宋_GB2312" w:eastAsia="仿宋_GB2312" w:hint="eastAsia"/>
          <w:sz w:val="28"/>
          <w:szCs w:val="28"/>
        </w:rPr>
        <w:t>万元，当年新增教学科研仪器设备值</w:t>
      </w:r>
      <w:r>
        <w:rPr>
          <w:rFonts w:ascii="仿宋_GB2312" w:eastAsia="仿宋_GB2312" w:hAnsi="宋体" w:hint="eastAsia"/>
          <w:bCs/>
          <w:sz w:val="28"/>
          <w:szCs w:val="28"/>
        </w:rPr>
        <w:t>660.53万元</w:t>
      </w:r>
      <w:r>
        <w:rPr>
          <w:rFonts w:ascii="仿宋_GB2312" w:eastAsia="仿宋_GB2312" w:hint="eastAsia"/>
          <w:sz w:val="28"/>
          <w:szCs w:val="28"/>
        </w:rPr>
        <w:t>，生均教学科研仪器设备值达</w:t>
      </w:r>
      <w:r>
        <w:rPr>
          <w:rFonts w:ascii="仿宋_GB2312" w:eastAsia="仿宋_GB2312" w:hint="eastAsia"/>
          <w:bCs/>
          <w:sz w:val="28"/>
          <w:szCs w:val="28"/>
        </w:rPr>
        <w:t>8544</w:t>
      </w:r>
      <w:r>
        <w:rPr>
          <w:rFonts w:ascii="仿宋_GB2312" w:eastAsia="仿宋_GB2312" w:hint="eastAsia"/>
          <w:sz w:val="28"/>
          <w:szCs w:val="28"/>
        </w:rPr>
        <w:t>元。学校共投入实验实践教学经费1245万元，其中实验经费457.6万元，生均791元；实习经费130万元，生均700元，其中法学实验班学生实习经费达到生均1500元。</w:t>
      </w:r>
    </w:p>
    <w:p w:rsidR="00E158AE" w:rsidRDefault="00E158AE" w:rsidP="00E158AE">
      <w:pPr>
        <w:spacing w:afterLines="20" w:after="62" w:line="240" w:lineRule="atLeast"/>
        <w:jc w:val="center"/>
        <w:rPr>
          <w:rFonts w:ascii="仿宋_GB2312" w:eastAsia="仿宋_GB2312" w:hint="eastAsia"/>
          <w:b/>
          <w:szCs w:val="21"/>
        </w:rPr>
      </w:pPr>
    </w:p>
    <w:p w:rsidR="00E158AE" w:rsidRDefault="00E158AE" w:rsidP="00E158AE">
      <w:pPr>
        <w:spacing w:afterLines="20" w:after="62" w:line="240" w:lineRule="atLeast"/>
        <w:jc w:val="center"/>
        <w:rPr>
          <w:rFonts w:ascii="仿宋_GB2312" w:eastAsia="仿宋_GB2312" w:hint="eastAsia"/>
          <w:b/>
          <w:szCs w:val="21"/>
        </w:rPr>
      </w:pPr>
      <w:r>
        <w:rPr>
          <w:rFonts w:ascii="仿宋_GB2312" w:eastAsia="仿宋_GB2312" w:hint="eastAsia"/>
          <w:b/>
          <w:szCs w:val="21"/>
        </w:rPr>
        <w:t>2012年度教学科研仪器设备值情况统计</w:t>
      </w:r>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3586"/>
      </w:tblGrid>
      <w:tr w:rsidR="00E158AE" w:rsidTr="00E158AE">
        <w:trPr>
          <w:trHeight w:val="203"/>
          <w:jc w:val="center"/>
        </w:trPr>
        <w:tc>
          <w:tcPr>
            <w:tcW w:w="4519"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ind w:firstLine="480"/>
              <w:jc w:val="center"/>
              <w:rPr>
                <w:rFonts w:ascii="仿宋_GB2312" w:eastAsia="仿宋_GB2312" w:hAnsi="宋体" w:hint="eastAsia"/>
                <w:bCs/>
                <w:szCs w:val="21"/>
              </w:rPr>
            </w:pPr>
            <w:r>
              <w:rPr>
                <w:rFonts w:ascii="仿宋_GB2312" w:eastAsia="仿宋_GB2312" w:hAnsi="宋体" w:hint="eastAsia"/>
                <w:bCs/>
                <w:szCs w:val="21"/>
              </w:rPr>
              <w:t>指标</w:t>
            </w:r>
          </w:p>
        </w:tc>
        <w:tc>
          <w:tcPr>
            <w:tcW w:w="3586" w:type="dxa"/>
            <w:tcBorders>
              <w:top w:val="single" w:sz="4" w:space="0" w:color="auto"/>
              <w:left w:val="single" w:sz="4" w:space="0" w:color="auto"/>
              <w:bottom w:val="single" w:sz="4" w:space="0" w:color="auto"/>
              <w:right w:val="single" w:sz="4" w:space="0" w:color="auto"/>
            </w:tcBorders>
            <w:noWrap/>
            <w:vAlign w:val="center"/>
            <w:hideMark/>
          </w:tcPr>
          <w:p w:rsidR="00E158AE" w:rsidRDefault="00E158AE">
            <w:pPr>
              <w:ind w:firstLine="480"/>
              <w:jc w:val="center"/>
              <w:rPr>
                <w:rFonts w:ascii="仿宋_GB2312" w:eastAsia="仿宋_GB2312" w:hAnsi="宋体" w:hint="eastAsia"/>
                <w:bCs/>
                <w:szCs w:val="21"/>
              </w:rPr>
            </w:pPr>
            <w:r>
              <w:rPr>
                <w:rFonts w:ascii="仿宋_GB2312" w:eastAsia="仿宋_GB2312" w:hAnsi="宋体" w:hint="eastAsia"/>
                <w:bCs/>
                <w:szCs w:val="21"/>
              </w:rPr>
              <w:t>数值</w:t>
            </w:r>
          </w:p>
        </w:tc>
      </w:tr>
      <w:tr w:rsidR="00E158AE" w:rsidTr="00E158AE">
        <w:trPr>
          <w:trHeight w:val="315"/>
          <w:jc w:val="center"/>
        </w:trPr>
        <w:tc>
          <w:tcPr>
            <w:tcW w:w="4519" w:type="dxa"/>
            <w:tcBorders>
              <w:top w:val="single" w:sz="4" w:space="0" w:color="auto"/>
              <w:left w:val="single" w:sz="4" w:space="0" w:color="auto"/>
              <w:bottom w:val="single" w:sz="4" w:space="0" w:color="auto"/>
              <w:right w:val="single" w:sz="4" w:space="0" w:color="auto"/>
            </w:tcBorders>
            <w:vAlign w:val="center"/>
            <w:hideMark/>
          </w:tcPr>
          <w:p w:rsidR="00E158AE" w:rsidRDefault="00E158AE">
            <w:pPr>
              <w:ind w:firstLine="480"/>
              <w:jc w:val="center"/>
              <w:rPr>
                <w:rFonts w:ascii="仿宋_GB2312" w:eastAsia="仿宋_GB2312" w:hAnsi="宋体" w:hint="eastAsia"/>
                <w:bCs/>
                <w:szCs w:val="21"/>
              </w:rPr>
            </w:pPr>
            <w:r>
              <w:rPr>
                <w:rFonts w:ascii="仿宋_GB2312" w:eastAsia="仿宋_GB2312" w:hAnsi="宋体" w:hint="eastAsia"/>
                <w:bCs/>
                <w:szCs w:val="21"/>
              </w:rPr>
              <w:t>教学科研仪器设备资产总值</w:t>
            </w:r>
          </w:p>
        </w:tc>
        <w:tc>
          <w:tcPr>
            <w:tcW w:w="35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ind w:firstLine="480"/>
              <w:jc w:val="center"/>
              <w:rPr>
                <w:rFonts w:ascii="仿宋_GB2312" w:eastAsia="仿宋_GB2312" w:hAnsi="宋体" w:hint="eastAsia"/>
                <w:bCs/>
                <w:szCs w:val="21"/>
              </w:rPr>
            </w:pPr>
            <w:r>
              <w:rPr>
                <w:rFonts w:ascii="仿宋_GB2312" w:eastAsia="仿宋_GB2312" w:hAnsi="宋体" w:hint="eastAsia"/>
                <w:bCs/>
                <w:szCs w:val="21"/>
              </w:rPr>
              <w:t>12280.21万元</w:t>
            </w:r>
          </w:p>
        </w:tc>
      </w:tr>
      <w:tr w:rsidR="00E158AE" w:rsidTr="00E158AE">
        <w:trPr>
          <w:trHeight w:val="300"/>
          <w:jc w:val="center"/>
        </w:trPr>
        <w:tc>
          <w:tcPr>
            <w:tcW w:w="4519" w:type="dxa"/>
            <w:tcBorders>
              <w:top w:val="single" w:sz="4" w:space="0" w:color="auto"/>
              <w:left w:val="single" w:sz="4" w:space="0" w:color="auto"/>
              <w:bottom w:val="single" w:sz="4" w:space="0" w:color="auto"/>
              <w:right w:val="single" w:sz="4" w:space="0" w:color="auto"/>
            </w:tcBorders>
            <w:vAlign w:val="center"/>
            <w:hideMark/>
          </w:tcPr>
          <w:p w:rsidR="00E158AE" w:rsidRDefault="00E158AE">
            <w:pPr>
              <w:ind w:firstLine="480"/>
              <w:jc w:val="center"/>
              <w:rPr>
                <w:rFonts w:ascii="仿宋_GB2312" w:eastAsia="仿宋_GB2312" w:hAnsi="宋体" w:hint="eastAsia"/>
                <w:bCs/>
                <w:szCs w:val="21"/>
              </w:rPr>
            </w:pPr>
            <w:r>
              <w:rPr>
                <w:rFonts w:ascii="仿宋_GB2312" w:eastAsia="仿宋_GB2312" w:hAnsi="宋体" w:hint="eastAsia"/>
                <w:bCs/>
                <w:szCs w:val="21"/>
              </w:rPr>
              <w:t>当年新增教学科研仪器设备值</w:t>
            </w:r>
          </w:p>
        </w:tc>
        <w:tc>
          <w:tcPr>
            <w:tcW w:w="35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ind w:firstLine="480"/>
              <w:jc w:val="center"/>
              <w:rPr>
                <w:rFonts w:ascii="仿宋_GB2312" w:eastAsia="仿宋_GB2312" w:hAnsi="宋体" w:hint="eastAsia"/>
                <w:bCs/>
                <w:szCs w:val="21"/>
              </w:rPr>
            </w:pPr>
            <w:r>
              <w:rPr>
                <w:rFonts w:ascii="仿宋_GB2312" w:eastAsia="仿宋_GB2312" w:hAnsi="宋体" w:hint="eastAsia"/>
                <w:bCs/>
                <w:szCs w:val="21"/>
              </w:rPr>
              <w:t>660.53万元</w:t>
            </w:r>
          </w:p>
        </w:tc>
      </w:tr>
      <w:tr w:rsidR="00E158AE" w:rsidTr="00E158AE">
        <w:trPr>
          <w:trHeight w:val="30"/>
          <w:jc w:val="center"/>
        </w:trPr>
        <w:tc>
          <w:tcPr>
            <w:tcW w:w="4519" w:type="dxa"/>
            <w:tcBorders>
              <w:top w:val="single" w:sz="4" w:space="0" w:color="auto"/>
              <w:left w:val="single" w:sz="4" w:space="0" w:color="auto"/>
              <w:bottom w:val="single" w:sz="4" w:space="0" w:color="auto"/>
              <w:right w:val="single" w:sz="4" w:space="0" w:color="auto"/>
            </w:tcBorders>
            <w:vAlign w:val="center"/>
            <w:hideMark/>
          </w:tcPr>
          <w:p w:rsidR="00E158AE" w:rsidRDefault="00E158AE">
            <w:pPr>
              <w:ind w:firstLine="480"/>
              <w:jc w:val="center"/>
              <w:rPr>
                <w:rFonts w:ascii="仿宋_GB2312" w:eastAsia="仿宋_GB2312" w:hAnsi="宋体" w:hint="eastAsia"/>
                <w:bCs/>
                <w:szCs w:val="21"/>
              </w:rPr>
            </w:pPr>
            <w:r>
              <w:rPr>
                <w:rFonts w:ascii="仿宋_GB2312" w:eastAsia="仿宋_GB2312" w:hAnsi="宋体" w:hint="eastAsia"/>
                <w:bCs/>
                <w:szCs w:val="21"/>
              </w:rPr>
              <w:t>折合在校生数</w:t>
            </w:r>
          </w:p>
        </w:tc>
        <w:tc>
          <w:tcPr>
            <w:tcW w:w="35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ind w:firstLine="480"/>
              <w:jc w:val="center"/>
              <w:rPr>
                <w:rFonts w:ascii="仿宋_GB2312" w:eastAsia="仿宋_GB2312" w:hAnsi="宋体" w:hint="eastAsia"/>
                <w:bCs/>
                <w:szCs w:val="21"/>
              </w:rPr>
            </w:pPr>
            <w:r>
              <w:rPr>
                <w:rFonts w:ascii="仿宋_GB2312" w:eastAsia="仿宋_GB2312" w:hint="eastAsia"/>
              </w:rPr>
              <w:t>14409</w:t>
            </w:r>
            <w:r>
              <w:rPr>
                <w:rFonts w:ascii="仿宋_GB2312" w:eastAsia="仿宋_GB2312" w:hAnsi="宋体" w:hint="eastAsia"/>
                <w:bCs/>
                <w:szCs w:val="21"/>
              </w:rPr>
              <w:t>人</w:t>
            </w:r>
          </w:p>
        </w:tc>
      </w:tr>
      <w:tr w:rsidR="00E158AE" w:rsidTr="00E158AE">
        <w:trPr>
          <w:trHeight w:val="184"/>
          <w:jc w:val="center"/>
        </w:trPr>
        <w:tc>
          <w:tcPr>
            <w:tcW w:w="4519" w:type="dxa"/>
            <w:tcBorders>
              <w:top w:val="single" w:sz="4" w:space="0" w:color="auto"/>
              <w:left w:val="single" w:sz="4" w:space="0" w:color="auto"/>
              <w:bottom w:val="single" w:sz="4" w:space="0" w:color="auto"/>
              <w:right w:val="single" w:sz="4" w:space="0" w:color="auto"/>
            </w:tcBorders>
            <w:vAlign w:val="center"/>
            <w:hideMark/>
          </w:tcPr>
          <w:p w:rsidR="00E158AE" w:rsidRDefault="00E158AE">
            <w:pPr>
              <w:ind w:firstLine="480"/>
              <w:jc w:val="center"/>
              <w:rPr>
                <w:rFonts w:ascii="仿宋_GB2312" w:eastAsia="仿宋_GB2312" w:hAnsi="宋体" w:hint="eastAsia"/>
                <w:bCs/>
                <w:szCs w:val="21"/>
              </w:rPr>
            </w:pPr>
            <w:r>
              <w:rPr>
                <w:rFonts w:ascii="仿宋_GB2312" w:eastAsia="仿宋_GB2312" w:hAnsi="宋体" w:hint="eastAsia"/>
                <w:bCs/>
                <w:szCs w:val="21"/>
              </w:rPr>
              <w:t>生均教学科研仪器设备值</w:t>
            </w:r>
          </w:p>
        </w:tc>
        <w:tc>
          <w:tcPr>
            <w:tcW w:w="35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ind w:firstLine="480"/>
              <w:jc w:val="center"/>
              <w:rPr>
                <w:rFonts w:ascii="仿宋_GB2312" w:eastAsia="仿宋_GB2312" w:hAnsi="宋体" w:hint="eastAsia"/>
                <w:bCs/>
                <w:szCs w:val="21"/>
              </w:rPr>
            </w:pPr>
            <w:r>
              <w:rPr>
                <w:rFonts w:ascii="仿宋_GB2312" w:eastAsia="仿宋_GB2312" w:hAnsi="宋体" w:hint="eastAsia"/>
                <w:bCs/>
                <w:szCs w:val="21"/>
              </w:rPr>
              <w:t>8544元</w:t>
            </w:r>
          </w:p>
        </w:tc>
      </w:tr>
    </w:tbl>
    <w:p w:rsidR="00E158AE" w:rsidRDefault="00E158AE" w:rsidP="00E158AE">
      <w:pPr>
        <w:ind w:firstLineChars="200" w:firstLine="560"/>
        <w:rPr>
          <w:rFonts w:ascii="仿宋_GB2312" w:eastAsia="仿宋_GB2312" w:hint="eastAsia"/>
          <w:sz w:val="28"/>
          <w:szCs w:val="28"/>
        </w:rPr>
      </w:pPr>
      <w:r>
        <w:rPr>
          <w:rFonts w:ascii="仿宋_GB2312" w:eastAsia="仿宋_GB2312" w:hint="eastAsia"/>
          <w:sz w:val="28"/>
          <w:szCs w:val="28"/>
        </w:rPr>
        <w:t>3.图书资料及管理、利用</w:t>
      </w:r>
    </w:p>
    <w:p w:rsidR="00E158AE" w:rsidRDefault="00E158AE" w:rsidP="00E158AE">
      <w:pPr>
        <w:ind w:firstLineChars="200" w:firstLine="560"/>
        <w:rPr>
          <w:rFonts w:ascii="仿宋_GB2312" w:eastAsia="仿宋_GB2312" w:hint="eastAsia"/>
          <w:sz w:val="28"/>
          <w:szCs w:val="28"/>
        </w:rPr>
      </w:pPr>
      <w:r>
        <w:rPr>
          <w:rFonts w:ascii="仿宋_GB2312" w:eastAsia="仿宋_GB2312" w:hint="eastAsia"/>
          <w:sz w:val="28"/>
          <w:szCs w:val="28"/>
        </w:rPr>
        <w:t>中国政法大学图书馆是新中国成立后国内最早建立的以政治法律资料信息为重点的高校图书馆。学校图书馆下设三个分馆，由学院路校区图书馆和昌平校区图书馆两个分馆组成，昌平校区图书馆有文渊阁和法渊阁两个馆舍，总面积为</w:t>
      </w:r>
      <w:bookmarkStart w:id="44" w:name="OLE_LINK1"/>
      <w:smartTag w:uri="urn:schemas-microsoft-com:office:smarttags" w:element="chmetcnv">
        <w:smartTagPr>
          <w:attr w:name="UnitName" w:val="平方米"/>
          <w:attr w:name="SourceValue" w:val="20393"/>
          <w:attr w:name="HasSpace" w:val="False"/>
          <w:attr w:name="Negative" w:val="False"/>
          <w:attr w:name="NumberType" w:val="1"/>
          <w:attr w:name="TCSC" w:val="0"/>
        </w:smartTagPr>
        <w:r>
          <w:rPr>
            <w:rFonts w:ascii="仿宋_GB2312" w:eastAsia="仿宋_GB2312" w:hint="eastAsia"/>
            <w:sz w:val="28"/>
            <w:szCs w:val="28"/>
          </w:rPr>
          <w:t>20393</w:t>
        </w:r>
        <w:bookmarkEnd w:id="44"/>
        <w:r>
          <w:rPr>
            <w:rFonts w:ascii="仿宋_GB2312" w:eastAsia="仿宋_GB2312" w:hint="eastAsia"/>
            <w:sz w:val="28"/>
            <w:szCs w:val="28"/>
          </w:rPr>
          <w:t>平方米</w:t>
        </w:r>
      </w:smartTag>
      <w:r>
        <w:rPr>
          <w:rFonts w:ascii="仿宋_GB2312" w:eastAsia="仿宋_GB2312" w:hint="eastAsia"/>
          <w:sz w:val="28"/>
          <w:szCs w:val="28"/>
        </w:rPr>
        <w:t>。图书馆采用开放的借、阅、藏合一的管理模式，共有12个阅览室，2个电子阅览室，可为读者提供阅览座位近1500余个。两校区馆藏图书可通借通还。阅览室每周开放94小时，网络资源全年每天24小时不间断服务。</w:t>
      </w:r>
    </w:p>
    <w:p w:rsidR="00E158AE" w:rsidRDefault="00E158AE" w:rsidP="00E158AE">
      <w:pPr>
        <w:ind w:firstLineChars="200" w:firstLine="560"/>
        <w:rPr>
          <w:rFonts w:ascii="仿宋_GB2312" w:eastAsia="仿宋_GB2312" w:hint="eastAsia"/>
          <w:sz w:val="28"/>
          <w:szCs w:val="28"/>
        </w:rPr>
      </w:pPr>
      <w:r>
        <w:rPr>
          <w:rFonts w:ascii="仿宋_GB2312" w:eastAsia="仿宋_GB2312" w:hint="eastAsia"/>
          <w:sz w:val="28"/>
          <w:szCs w:val="28"/>
        </w:rPr>
        <w:t>在长期建设中，我校图书馆始终以建设特色馆藏为依托，以服务教学、科研为宗旨，形成了以法学为主，涵盖文、史、哲、管、经、政、教育、军事、自然科学等多科文献资源的综合馆藏体系。截止2012年，图书馆馆藏资源总量达230余万册，其中纸质文献188余万册，电子图书36万余种（册），生均图书128.17册。可利用的电子资源</w:t>
      </w:r>
      <w:r>
        <w:rPr>
          <w:rFonts w:ascii="仿宋_GB2312" w:eastAsia="仿宋_GB2312" w:hint="eastAsia"/>
          <w:sz w:val="28"/>
          <w:szCs w:val="28"/>
        </w:rPr>
        <w:lastRenderedPageBreak/>
        <w:t>数据库14个。我校馆藏法律图书“优、全、广、新”，收藏比例大，基本涵盖了80年代以来国内所有的法律学术著作、本科以上法学教材和文献资料，并拥有相对丰富的清末民初珍版法律图书和港澳台版法律图书。我校“法渊阁”已成为国内高校最大的以法学类图书、文献、数据库为馆藏核心的图书馆，收藏法律类纸质文献占全部馆藏纸质文献的20%，政治法律类英文图书占外文类图书收藏的40%以上，拥有国内最多的外国法律数据库，囊括了美国两大法律数据库、联合国文献以及欧洲法律数据库。</w:t>
      </w:r>
    </w:p>
    <w:p w:rsidR="00E158AE" w:rsidRDefault="00E158AE" w:rsidP="00E158AE">
      <w:pPr>
        <w:ind w:firstLineChars="200" w:firstLine="560"/>
        <w:rPr>
          <w:rFonts w:ascii="仿宋_GB2312" w:eastAsia="仿宋_GB2312" w:hint="eastAsia"/>
          <w:sz w:val="28"/>
          <w:szCs w:val="28"/>
        </w:rPr>
      </w:pPr>
      <w:r>
        <w:rPr>
          <w:rFonts w:ascii="仿宋_GB2312" w:eastAsia="仿宋_GB2312" w:hint="eastAsia"/>
          <w:sz w:val="28"/>
          <w:szCs w:val="28"/>
        </w:rPr>
        <w:t>4.“本科质量工程”和“本科教学工程”建设概况及优质教学成果和资源</w:t>
      </w:r>
    </w:p>
    <w:p w:rsidR="00E158AE" w:rsidRDefault="00E158AE" w:rsidP="00E158AE">
      <w:pPr>
        <w:pStyle w:val="NormalWeb"/>
        <w:spacing w:beforeLines="50" w:before="156" w:beforeAutospacing="0" w:after="225" w:afterAutospacing="0" w:line="360" w:lineRule="auto"/>
        <w:ind w:leftChars="21" w:left="44" w:right="45" w:firstLineChars="236" w:firstLine="661"/>
        <w:rPr>
          <w:rFonts w:ascii="仿宋_GB2312" w:eastAsia="仿宋_GB2312" w:hint="eastAsia"/>
          <w:sz w:val="28"/>
          <w:szCs w:val="28"/>
        </w:rPr>
      </w:pPr>
      <w:r>
        <w:rPr>
          <w:rFonts w:ascii="仿宋_GB2312" w:eastAsia="仿宋_GB2312" w:hint="eastAsia"/>
          <w:sz w:val="28"/>
          <w:szCs w:val="28"/>
        </w:rPr>
        <w:t>在“本科质量工程”和“本科教学工程”实施以来，学校结合自身特色，紧密围绕提高人才培养质量、深化教育教学改革，形成了全校工作服从于教学工作、全部教学工作落脚于质量提高的工作局面，搭建了“校级—市级—国家级” 三级组织管理体系。在教学基本建设、特色人才培养等方面取得了一系列水平较高、特色鲜明的教育教学改革成果，带动了全校教学工作水平的提升，切实提高了学校人才培养质量。</w:t>
      </w:r>
    </w:p>
    <w:p w:rsidR="00E158AE" w:rsidRDefault="00E158AE" w:rsidP="00E158AE">
      <w:pPr>
        <w:spacing w:afterLines="20" w:after="62" w:line="240" w:lineRule="atLeast"/>
        <w:jc w:val="center"/>
        <w:rPr>
          <w:rFonts w:ascii="仿宋_GB2312" w:eastAsia="仿宋_GB2312" w:hint="eastAsia"/>
          <w:b/>
          <w:szCs w:val="21"/>
        </w:rPr>
      </w:pPr>
      <w:r>
        <w:rPr>
          <w:rFonts w:ascii="仿宋_GB2312" w:eastAsia="仿宋_GB2312" w:hint="eastAsia"/>
          <w:b/>
          <w:szCs w:val="21"/>
        </w:rPr>
        <w:t xml:space="preserve"> 优质教学成果和资源</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54"/>
        <w:gridCol w:w="3672"/>
        <w:gridCol w:w="1620"/>
        <w:gridCol w:w="1211"/>
      </w:tblGrid>
      <w:tr w:rsidR="00E158AE" w:rsidTr="00E158AE">
        <w:trPr>
          <w:trHeight w:val="108"/>
          <w:jc w:val="center"/>
        </w:trPr>
        <w:tc>
          <w:tcPr>
            <w:tcW w:w="1654"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b/>
              </w:rPr>
            </w:pPr>
            <w:r>
              <w:rPr>
                <w:rFonts w:ascii="仿宋_GB2312" w:eastAsia="仿宋_GB2312" w:hint="eastAsia"/>
                <w:b/>
              </w:rPr>
              <w:t>序号</w:t>
            </w:r>
          </w:p>
        </w:tc>
        <w:tc>
          <w:tcPr>
            <w:tcW w:w="3672"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b/>
              </w:rPr>
            </w:pPr>
            <w:r>
              <w:rPr>
                <w:rFonts w:ascii="仿宋_GB2312" w:eastAsia="仿宋_GB2312" w:hint="eastAsia"/>
                <w:b/>
              </w:rPr>
              <w:t>项目类别</w:t>
            </w:r>
          </w:p>
        </w:tc>
        <w:tc>
          <w:tcPr>
            <w:tcW w:w="1620" w:type="dxa"/>
            <w:tcBorders>
              <w:top w:val="single" w:sz="8" w:space="0" w:color="000000"/>
              <w:left w:val="single" w:sz="8" w:space="0" w:color="000000"/>
              <w:bottom w:val="single" w:sz="8" w:space="0" w:color="000000"/>
              <w:right w:val="single" w:sz="4" w:space="0" w:color="auto"/>
            </w:tcBorders>
            <w:vAlign w:val="center"/>
            <w:hideMark/>
          </w:tcPr>
          <w:p w:rsidR="00E158AE" w:rsidRDefault="00E158AE">
            <w:pPr>
              <w:jc w:val="center"/>
              <w:rPr>
                <w:rFonts w:ascii="仿宋_GB2312" w:eastAsia="仿宋_GB2312" w:hint="eastAsia"/>
                <w:b/>
              </w:rPr>
            </w:pPr>
            <w:r>
              <w:rPr>
                <w:rFonts w:ascii="仿宋_GB2312" w:eastAsia="仿宋_GB2312" w:hint="eastAsia"/>
                <w:b/>
              </w:rPr>
              <w:t>国家级</w:t>
            </w:r>
          </w:p>
        </w:tc>
        <w:tc>
          <w:tcPr>
            <w:tcW w:w="1211" w:type="dxa"/>
            <w:tcBorders>
              <w:top w:val="single" w:sz="8" w:space="0" w:color="000000"/>
              <w:left w:val="single" w:sz="4" w:space="0" w:color="auto"/>
              <w:bottom w:val="single" w:sz="8" w:space="0" w:color="000000"/>
              <w:right w:val="single" w:sz="4" w:space="0" w:color="auto"/>
            </w:tcBorders>
            <w:vAlign w:val="center"/>
            <w:hideMark/>
          </w:tcPr>
          <w:p w:rsidR="00E158AE" w:rsidRDefault="00E158AE">
            <w:pPr>
              <w:jc w:val="center"/>
              <w:rPr>
                <w:rFonts w:ascii="仿宋_GB2312" w:eastAsia="仿宋_GB2312" w:hint="eastAsia"/>
                <w:b/>
              </w:rPr>
            </w:pPr>
            <w:r>
              <w:rPr>
                <w:rFonts w:ascii="仿宋_GB2312" w:eastAsia="仿宋_GB2312" w:hint="eastAsia"/>
                <w:b/>
              </w:rPr>
              <w:t>市级</w:t>
            </w:r>
          </w:p>
        </w:tc>
      </w:tr>
      <w:tr w:rsidR="00E158AE" w:rsidTr="00E158AE">
        <w:trPr>
          <w:trHeight w:val="358"/>
          <w:jc w:val="center"/>
        </w:trPr>
        <w:tc>
          <w:tcPr>
            <w:tcW w:w="1654" w:type="dxa"/>
            <w:tcBorders>
              <w:top w:val="single" w:sz="8" w:space="0" w:color="000000"/>
              <w:left w:val="single" w:sz="8" w:space="0" w:color="000000"/>
              <w:bottom w:val="single" w:sz="4" w:space="0" w:color="auto"/>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1</w:t>
            </w:r>
          </w:p>
        </w:tc>
        <w:tc>
          <w:tcPr>
            <w:tcW w:w="3672" w:type="dxa"/>
            <w:tcBorders>
              <w:top w:val="single" w:sz="8" w:space="0" w:color="000000"/>
              <w:left w:val="single" w:sz="8" w:space="0" w:color="000000"/>
              <w:bottom w:val="single" w:sz="4" w:space="0" w:color="auto"/>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教学成果奖</w:t>
            </w:r>
          </w:p>
        </w:tc>
        <w:tc>
          <w:tcPr>
            <w:tcW w:w="1620" w:type="dxa"/>
            <w:tcBorders>
              <w:top w:val="single" w:sz="8" w:space="0" w:color="000000"/>
              <w:left w:val="single" w:sz="8" w:space="0" w:color="000000"/>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7 项</w:t>
            </w:r>
          </w:p>
        </w:tc>
        <w:tc>
          <w:tcPr>
            <w:tcW w:w="1211" w:type="dxa"/>
            <w:tcBorders>
              <w:top w:val="single" w:sz="8" w:space="0" w:color="000000"/>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9项</w:t>
            </w:r>
          </w:p>
        </w:tc>
      </w:tr>
      <w:tr w:rsidR="00E158AE" w:rsidTr="00E158AE">
        <w:trPr>
          <w:trHeight w:val="253"/>
          <w:jc w:val="center"/>
        </w:trPr>
        <w:tc>
          <w:tcPr>
            <w:tcW w:w="1654" w:type="dxa"/>
            <w:tcBorders>
              <w:top w:val="single" w:sz="4" w:space="0" w:color="auto"/>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2</w:t>
            </w:r>
          </w:p>
        </w:tc>
        <w:tc>
          <w:tcPr>
            <w:tcW w:w="3672" w:type="dxa"/>
            <w:tcBorders>
              <w:top w:val="single" w:sz="4" w:space="0" w:color="auto"/>
              <w:left w:val="single" w:sz="8" w:space="0" w:color="000000"/>
              <w:bottom w:val="single" w:sz="4" w:space="0" w:color="auto"/>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人才培养模式创新实验区</w:t>
            </w:r>
          </w:p>
        </w:tc>
        <w:tc>
          <w:tcPr>
            <w:tcW w:w="1620" w:type="dxa"/>
            <w:tcBorders>
              <w:top w:val="single" w:sz="4" w:space="0" w:color="auto"/>
              <w:left w:val="single" w:sz="8" w:space="0" w:color="000000"/>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3个</w:t>
            </w:r>
          </w:p>
        </w:tc>
        <w:tc>
          <w:tcPr>
            <w:tcW w:w="1211" w:type="dxa"/>
            <w:tcBorders>
              <w:top w:val="single" w:sz="4" w:space="0" w:color="auto"/>
              <w:left w:val="single" w:sz="4" w:space="0" w:color="auto"/>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1个</w:t>
            </w:r>
          </w:p>
        </w:tc>
      </w:tr>
      <w:tr w:rsidR="00E158AE" w:rsidTr="00E158AE">
        <w:trPr>
          <w:trHeight w:val="143"/>
          <w:jc w:val="center"/>
        </w:trPr>
        <w:tc>
          <w:tcPr>
            <w:tcW w:w="1654"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3</w:t>
            </w:r>
          </w:p>
        </w:tc>
        <w:tc>
          <w:tcPr>
            <w:tcW w:w="3672" w:type="dxa"/>
            <w:tcBorders>
              <w:top w:val="single" w:sz="4" w:space="0" w:color="auto"/>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精品课程</w:t>
            </w:r>
          </w:p>
        </w:tc>
        <w:tc>
          <w:tcPr>
            <w:tcW w:w="1620" w:type="dxa"/>
            <w:tcBorders>
              <w:top w:val="single" w:sz="8" w:space="0" w:color="000000"/>
              <w:left w:val="single" w:sz="8" w:space="0" w:color="000000"/>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7门</w:t>
            </w:r>
          </w:p>
        </w:tc>
        <w:tc>
          <w:tcPr>
            <w:tcW w:w="1211" w:type="dxa"/>
            <w:tcBorders>
              <w:top w:val="single" w:sz="8" w:space="0" w:color="000000"/>
              <w:left w:val="single" w:sz="4" w:space="0" w:color="auto"/>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11门</w:t>
            </w:r>
          </w:p>
        </w:tc>
      </w:tr>
      <w:tr w:rsidR="00E158AE" w:rsidTr="00E158AE">
        <w:trPr>
          <w:trHeight w:val="143"/>
          <w:jc w:val="center"/>
        </w:trPr>
        <w:tc>
          <w:tcPr>
            <w:tcW w:w="1654"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4</w:t>
            </w:r>
          </w:p>
        </w:tc>
        <w:tc>
          <w:tcPr>
            <w:tcW w:w="3672"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双语教学示范课程</w:t>
            </w:r>
          </w:p>
        </w:tc>
        <w:tc>
          <w:tcPr>
            <w:tcW w:w="1620" w:type="dxa"/>
            <w:tcBorders>
              <w:top w:val="single" w:sz="8" w:space="0" w:color="000000"/>
              <w:left w:val="single" w:sz="8" w:space="0" w:color="000000"/>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5门</w:t>
            </w:r>
          </w:p>
        </w:tc>
        <w:tc>
          <w:tcPr>
            <w:tcW w:w="1211" w:type="dxa"/>
            <w:tcBorders>
              <w:top w:val="single" w:sz="8" w:space="0" w:color="000000"/>
              <w:left w:val="single" w:sz="4" w:space="0" w:color="auto"/>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w:t>
            </w:r>
          </w:p>
        </w:tc>
      </w:tr>
      <w:tr w:rsidR="00E158AE" w:rsidTr="00E158AE">
        <w:trPr>
          <w:trHeight w:val="143"/>
          <w:jc w:val="center"/>
        </w:trPr>
        <w:tc>
          <w:tcPr>
            <w:tcW w:w="1654"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5</w:t>
            </w:r>
          </w:p>
        </w:tc>
        <w:tc>
          <w:tcPr>
            <w:tcW w:w="3672"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教学名师奖</w:t>
            </w:r>
          </w:p>
        </w:tc>
        <w:tc>
          <w:tcPr>
            <w:tcW w:w="1620" w:type="dxa"/>
            <w:tcBorders>
              <w:top w:val="single" w:sz="8" w:space="0" w:color="000000"/>
              <w:left w:val="single" w:sz="8" w:space="0" w:color="000000"/>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1人</w:t>
            </w:r>
          </w:p>
        </w:tc>
        <w:tc>
          <w:tcPr>
            <w:tcW w:w="1211" w:type="dxa"/>
            <w:tcBorders>
              <w:top w:val="single" w:sz="8" w:space="0" w:color="000000"/>
              <w:left w:val="single" w:sz="4" w:space="0" w:color="auto"/>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13人</w:t>
            </w:r>
          </w:p>
        </w:tc>
      </w:tr>
      <w:tr w:rsidR="00E158AE" w:rsidTr="00E158AE">
        <w:trPr>
          <w:trHeight w:val="143"/>
          <w:jc w:val="center"/>
        </w:trPr>
        <w:tc>
          <w:tcPr>
            <w:tcW w:w="1654"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6</w:t>
            </w:r>
          </w:p>
        </w:tc>
        <w:tc>
          <w:tcPr>
            <w:tcW w:w="3672"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教学团队</w:t>
            </w:r>
          </w:p>
        </w:tc>
        <w:tc>
          <w:tcPr>
            <w:tcW w:w="1620" w:type="dxa"/>
            <w:tcBorders>
              <w:top w:val="single" w:sz="8" w:space="0" w:color="000000"/>
              <w:left w:val="single" w:sz="8" w:space="0" w:color="000000"/>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2个</w:t>
            </w:r>
          </w:p>
        </w:tc>
        <w:tc>
          <w:tcPr>
            <w:tcW w:w="1211" w:type="dxa"/>
            <w:tcBorders>
              <w:top w:val="single" w:sz="8" w:space="0" w:color="000000"/>
              <w:left w:val="single" w:sz="4" w:space="0" w:color="auto"/>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9个</w:t>
            </w:r>
          </w:p>
        </w:tc>
      </w:tr>
      <w:tr w:rsidR="00E158AE" w:rsidTr="00E158AE">
        <w:trPr>
          <w:trHeight w:val="269"/>
          <w:jc w:val="center"/>
        </w:trPr>
        <w:tc>
          <w:tcPr>
            <w:tcW w:w="1654" w:type="dxa"/>
            <w:tcBorders>
              <w:top w:val="single" w:sz="8" w:space="0" w:color="000000"/>
              <w:left w:val="single" w:sz="8" w:space="0" w:color="000000"/>
              <w:bottom w:val="single" w:sz="4" w:space="0" w:color="auto"/>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lastRenderedPageBreak/>
              <w:t>7</w:t>
            </w:r>
          </w:p>
        </w:tc>
        <w:tc>
          <w:tcPr>
            <w:tcW w:w="3672" w:type="dxa"/>
            <w:tcBorders>
              <w:top w:val="single" w:sz="8" w:space="0" w:color="000000"/>
              <w:left w:val="single" w:sz="8" w:space="0" w:color="000000"/>
              <w:bottom w:val="single" w:sz="4" w:space="0" w:color="auto"/>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特色专业</w:t>
            </w:r>
          </w:p>
        </w:tc>
        <w:tc>
          <w:tcPr>
            <w:tcW w:w="1620" w:type="dxa"/>
            <w:tcBorders>
              <w:top w:val="single" w:sz="8" w:space="0" w:color="000000"/>
              <w:left w:val="single" w:sz="8" w:space="0" w:color="000000"/>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3个</w:t>
            </w:r>
          </w:p>
        </w:tc>
        <w:tc>
          <w:tcPr>
            <w:tcW w:w="1211" w:type="dxa"/>
            <w:tcBorders>
              <w:top w:val="single" w:sz="8" w:space="0" w:color="000000"/>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2个</w:t>
            </w:r>
          </w:p>
        </w:tc>
      </w:tr>
      <w:tr w:rsidR="00E158AE" w:rsidTr="00E158AE">
        <w:trPr>
          <w:trHeight w:val="195"/>
          <w:jc w:val="center"/>
        </w:trPr>
        <w:tc>
          <w:tcPr>
            <w:tcW w:w="1654" w:type="dxa"/>
            <w:tcBorders>
              <w:top w:val="single" w:sz="4" w:space="0" w:color="auto"/>
              <w:left w:val="single" w:sz="8" w:space="0" w:color="000000"/>
              <w:bottom w:val="single" w:sz="4" w:space="0" w:color="auto"/>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8</w:t>
            </w:r>
          </w:p>
        </w:tc>
        <w:tc>
          <w:tcPr>
            <w:tcW w:w="3672" w:type="dxa"/>
            <w:tcBorders>
              <w:top w:val="single" w:sz="4" w:space="0" w:color="auto"/>
              <w:left w:val="single" w:sz="8" w:space="0" w:color="000000"/>
              <w:bottom w:val="single" w:sz="4" w:space="0" w:color="auto"/>
              <w:right w:val="single" w:sz="8" w:space="0" w:color="000000"/>
            </w:tcBorders>
            <w:vAlign w:val="center"/>
            <w:hideMark/>
          </w:tcPr>
          <w:p w:rsidR="00E158AE" w:rsidRDefault="00E158AE">
            <w:pPr>
              <w:jc w:val="center"/>
              <w:rPr>
                <w:rFonts w:ascii="仿宋_GB2312" w:eastAsia="仿宋_GB2312" w:hint="eastAsia"/>
                <w:szCs w:val="21"/>
              </w:rPr>
            </w:pPr>
            <w:r>
              <w:rPr>
                <w:rFonts w:ascii="仿宋_GB2312" w:eastAsia="仿宋_GB2312" w:hint="eastAsia"/>
                <w:szCs w:val="21"/>
              </w:rPr>
              <w:t>国家大学生文化素质教育基地</w:t>
            </w:r>
          </w:p>
        </w:tc>
        <w:tc>
          <w:tcPr>
            <w:tcW w:w="1620" w:type="dxa"/>
            <w:tcBorders>
              <w:top w:val="single" w:sz="4" w:space="0" w:color="auto"/>
              <w:left w:val="single" w:sz="8" w:space="0" w:color="000000"/>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1个</w:t>
            </w:r>
          </w:p>
        </w:tc>
        <w:tc>
          <w:tcPr>
            <w:tcW w:w="12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w:t>
            </w:r>
          </w:p>
        </w:tc>
      </w:tr>
      <w:tr w:rsidR="00E158AE" w:rsidTr="00E158AE">
        <w:trPr>
          <w:trHeight w:val="143"/>
          <w:jc w:val="center"/>
        </w:trPr>
        <w:tc>
          <w:tcPr>
            <w:tcW w:w="1654" w:type="dxa"/>
            <w:tcBorders>
              <w:top w:val="single" w:sz="4" w:space="0" w:color="auto"/>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9</w:t>
            </w:r>
          </w:p>
        </w:tc>
        <w:tc>
          <w:tcPr>
            <w:tcW w:w="3672" w:type="dxa"/>
            <w:tcBorders>
              <w:top w:val="single" w:sz="4" w:space="0" w:color="auto"/>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实验教学示范中心</w:t>
            </w:r>
          </w:p>
        </w:tc>
        <w:tc>
          <w:tcPr>
            <w:tcW w:w="1620" w:type="dxa"/>
            <w:tcBorders>
              <w:top w:val="single" w:sz="4" w:space="0" w:color="auto"/>
              <w:left w:val="single" w:sz="8" w:space="0" w:color="000000"/>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1个</w:t>
            </w:r>
          </w:p>
        </w:tc>
        <w:tc>
          <w:tcPr>
            <w:tcW w:w="1211" w:type="dxa"/>
            <w:tcBorders>
              <w:top w:val="single" w:sz="4" w:space="0" w:color="auto"/>
              <w:left w:val="single" w:sz="4" w:space="0" w:color="auto"/>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1个</w:t>
            </w:r>
          </w:p>
        </w:tc>
      </w:tr>
      <w:tr w:rsidR="00E158AE" w:rsidTr="00E158AE">
        <w:trPr>
          <w:trHeight w:val="143"/>
          <w:jc w:val="center"/>
        </w:trPr>
        <w:tc>
          <w:tcPr>
            <w:tcW w:w="1654"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10</w:t>
            </w:r>
          </w:p>
        </w:tc>
        <w:tc>
          <w:tcPr>
            <w:tcW w:w="3672"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大学生创新创业计划项目</w:t>
            </w:r>
          </w:p>
        </w:tc>
        <w:tc>
          <w:tcPr>
            <w:tcW w:w="1620" w:type="dxa"/>
            <w:tcBorders>
              <w:top w:val="single" w:sz="8" w:space="0" w:color="000000"/>
              <w:left w:val="single" w:sz="8" w:space="0" w:color="000000"/>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200项</w:t>
            </w:r>
          </w:p>
        </w:tc>
        <w:tc>
          <w:tcPr>
            <w:tcW w:w="1211" w:type="dxa"/>
            <w:tcBorders>
              <w:top w:val="single" w:sz="8" w:space="0" w:color="000000"/>
              <w:left w:val="single" w:sz="4" w:space="0" w:color="auto"/>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80项</w:t>
            </w:r>
          </w:p>
        </w:tc>
      </w:tr>
      <w:tr w:rsidR="00E158AE" w:rsidTr="00E158AE">
        <w:trPr>
          <w:trHeight w:val="143"/>
          <w:jc w:val="center"/>
        </w:trPr>
        <w:tc>
          <w:tcPr>
            <w:tcW w:w="1654"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11</w:t>
            </w:r>
          </w:p>
        </w:tc>
        <w:tc>
          <w:tcPr>
            <w:tcW w:w="3672" w:type="dxa"/>
            <w:tcBorders>
              <w:top w:val="single" w:sz="8" w:space="0" w:color="000000"/>
              <w:left w:val="single" w:sz="8" w:space="0" w:color="000000"/>
              <w:bottom w:val="single" w:sz="8" w:space="0" w:color="000000"/>
              <w:right w:val="single" w:sz="8" w:space="0" w:color="000000"/>
            </w:tcBorders>
            <w:vAlign w:val="center"/>
            <w:hideMark/>
          </w:tcPr>
          <w:p w:rsidR="00E158AE" w:rsidRDefault="00E158AE">
            <w:pPr>
              <w:jc w:val="center"/>
              <w:rPr>
                <w:rFonts w:ascii="仿宋_GB2312" w:eastAsia="仿宋_GB2312" w:hint="eastAsia"/>
              </w:rPr>
            </w:pPr>
            <w:r>
              <w:rPr>
                <w:rFonts w:ascii="仿宋_GB2312" w:eastAsia="仿宋_GB2312" w:hint="eastAsia"/>
              </w:rPr>
              <w:t>精品视频公开课</w:t>
            </w:r>
          </w:p>
        </w:tc>
        <w:tc>
          <w:tcPr>
            <w:tcW w:w="1620" w:type="dxa"/>
            <w:tcBorders>
              <w:top w:val="single" w:sz="8" w:space="0" w:color="000000"/>
              <w:left w:val="single" w:sz="8" w:space="0" w:color="000000"/>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1门</w:t>
            </w:r>
          </w:p>
        </w:tc>
        <w:tc>
          <w:tcPr>
            <w:tcW w:w="1211" w:type="dxa"/>
            <w:tcBorders>
              <w:top w:val="single" w:sz="8" w:space="0" w:color="000000"/>
              <w:left w:val="single" w:sz="4" w:space="0" w:color="auto"/>
              <w:bottom w:val="single" w:sz="8" w:space="0" w:color="000000"/>
              <w:right w:val="single" w:sz="4" w:space="0" w:color="auto"/>
            </w:tcBorders>
            <w:vAlign w:val="center"/>
            <w:hideMark/>
          </w:tcPr>
          <w:p w:rsidR="00E158AE" w:rsidRDefault="00E158AE">
            <w:pPr>
              <w:jc w:val="center"/>
              <w:rPr>
                <w:rFonts w:ascii="仿宋_GB2312" w:eastAsia="仿宋_GB2312" w:hint="eastAsia"/>
              </w:rPr>
            </w:pPr>
            <w:r>
              <w:rPr>
                <w:rFonts w:ascii="仿宋_GB2312" w:eastAsia="仿宋_GB2312" w:hint="eastAsia"/>
              </w:rPr>
              <w:t>-</w:t>
            </w:r>
          </w:p>
        </w:tc>
      </w:tr>
    </w:tbl>
    <w:p w:rsidR="00E158AE" w:rsidRDefault="00E158AE" w:rsidP="00E158AE">
      <w:pPr>
        <w:pStyle w:val="Heading3"/>
        <w:spacing w:before="156"/>
        <w:rPr>
          <w:rFonts w:hint="eastAsia"/>
        </w:rPr>
      </w:pPr>
      <w:bookmarkStart w:id="45" w:name="_Toc339824619"/>
      <w:r>
        <w:rPr>
          <w:rFonts w:hint="eastAsia"/>
        </w:rPr>
        <w:t>二、教学经费投入情况</w:t>
      </w:r>
      <w:bookmarkEnd w:id="45"/>
    </w:p>
    <w:p w:rsidR="00E158AE" w:rsidRDefault="00E158AE" w:rsidP="00E158AE">
      <w:pPr>
        <w:ind w:firstLineChars="200" w:firstLine="560"/>
        <w:rPr>
          <w:rFonts w:ascii="仿宋_GB2312" w:eastAsia="仿宋_GB2312"/>
          <w:sz w:val="28"/>
          <w:szCs w:val="28"/>
        </w:rPr>
      </w:pPr>
      <w:r>
        <w:rPr>
          <w:rFonts w:ascii="仿宋_GB2312" w:eastAsia="仿宋_GB2312" w:hint="eastAsia"/>
          <w:sz w:val="28"/>
          <w:szCs w:val="28"/>
        </w:rPr>
        <w:t>学校在经费投入上切实贯彻“中心工作观”，坚持“保障发展、教研优先，开源节流、勤俭办学，科学管理、民主理财”的财务管理指导思想，依照“确保日常需要，科学设置专项，严控支出管理，提高使用效率”的教学经费使用原则，多方筹措，统筹规划、合理配置，确保教学经费投入。2012年，学校教学经费3467万元，本科教学工程经费345万元，生均本科教学日常运行支出4642元，充分满足了人才培养需要。</w:t>
      </w:r>
    </w:p>
    <w:p w:rsidR="00E158AE" w:rsidRDefault="00E158AE" w:rsidP="00E158AE">
      <w:pPr>
        <w:pStyle w:val="Heading2"/>
        <w:spacing w:before="156"/>
        <w:rPr>
          <w:rFonts w:hint="eastAsia"/>
        </w:rPr>
      </w:pPr>
      <w:bookmarkStart w:id="46" w:name="_Toc339824620"/>
      <w:bookmarkStart w:id="47" w:name="_Toc339118962"/>
      <w:r>
        <w:rPr>
          <w:rFonts w:hint="eastAsia"/>
        </w:rPr>
        <w:t>第四部分 专业建设与教学改革</w:t>
      </w:r>
      <w:bookmarkEnd w:id="46"/>
      <w:bookmarkEnd w:id="47"/>
    </w:p>
    <w:p w:rsidR="00E158AE" w:rsidRDefault="00E158AE" w:rsidP="00E158AE">
      <w:pPr>
        <w:pStyle w:val="Heading3"/>
        <w:spacing w:before="156"/>
        <w:rPr>
          <w:rFonts w:hint="eastAsia"/>
        </w:rPr>
      </w:pPr>
      <w:bookmarkStart w:id="48" w:name="_Toc339824621"/>
      <w:r>
        <w:rPr>
          <w:rFonts w:hint="eastAsia"/>
        </w:rPr>
        <w:t>一、专业结构与布局</w:t>
      </w:r>
      <w:bookmarkEnd w:id="48"/>
    </w:p>
    <w:p w:rsidR="00E158AE" w:rsidRDefault="00E158AE" w:rsidP="00E158AE">
      <w:pPr>
        <w:ind w:firstLineChars="200" w:firstLine="560"/>
        <w:rPr>
          <w:rFonts w:ascii="仿宋_GB2312" w:eastAsia="仿宋_GB2312" w:hAnsi="宋体"/>
          <w:bCs/>
          <w:sz w:val="28"/>
          <w:szCs w:val="28"/>
        </w:rPr>
      </w:pPr>
      <w:r>
        <w:rPr>
          <w:rFonts w:ascii="仿宋_GB2312" w:eastAsia="仿宋_GB2312" w:hAnsi="宋体" w:hint="eastAsia"/>
          <w:sz w:val="28"/>
          <w:szCs w:val="28"/>
        </w:rPr>
        <w:t>近年来，学校</w:t>
      </w:r>
      <w:r>
        <w:rPr>
          <w:rFonts w:ascii="仿宋_GB2312" w:eastAsia="仿宋_GB2312" w:hAnsi="宋体" w:hint="eastAsia"/>
          <w:bCs/>
          <w:sz w:val="28"/>
          <w:szCs w:val="28"/>
        </w:rPr>
        <w:t>专业结构与布局进一步趋向合理化。</w:t>
      </w:r>
      <w:r>
        <w:rPr>
          <w:rFonts w:ascii="仿宋_GB2312" w:eastAsia="仿宋_GB2312" w:hAnsi="宋体" w:hint="eastAsia"/>
          <w:sz w:val="28"/>
          <w:szCs w:val="28"/>
        </w:rPr>
        <w:t>学校本科专业达到</w:t>
      </w:r>
      <w:r>
        <w:rPr>
          <w:rFonts w:ascii="仿宋_GB2312" w:eastAsia="仿宋_GB2312" w:hAnsi="宋体" w:hint="eastAsia"/>
          <w:bCs/>
          <w:sz w:val="28"/>
          <w:szCs w:val="28"/>
        </w:rPr>
        <w:t>18个，涵盖法学、经济学、管理学、文学、哲学和理学6个学科门类，13个专业类。</w:t>
      </w:r>
      <w:r>
        <w:rPr>
          <w:rFonts w:ascii="仿宋_GB2312" w:eastAsia="仿宋_GB2312" w:hint="eastAsia"/>
          <w:sz w:val="28"/>
          <w:szCs w:val="28"/>
        </w:rPr>
        <w:t>本科专业构成了一个主体突出、特色鲜明、相互关联、彼此支撑、有机融通的专业体系。在这个体系中，法学是主体专业。学校目前约有60%的学生学习法学专业，法学院、民商经济法学院、国际法学院和刑事司法学院四大学院共同承担着法学本科教学任务。在法学主体专业的周围，有政治学与行政学、国际政治、行政管理、公共事业管理、社会学、经济学、国际商务、工商管理、侦查学、新闻学、哲学、思想政治教育、英语、德语、汉语言文学、社</w:t>
      </w:r>
      <w:r>
        <w:rPr>
          <w:rFonts w:ascii="仿宋_GB2312" w:eastAsia="仿宋_GB2312" w:hint="eastAsia"/>
          <w:sz w:val="28"/>
          <w:szCs w:val="28"/>
        </w:rPr>
        <w:lastRenderedPageBreak/>
        <w:t>会工作、应用心理学等关联专业，实现了主体专业特色鲜明、关联专业快速发展，形成了专业关联度高、知识互补性强、素质教育平台宽，专业间相互融通、相互支撑的本科专业结构布局。</w:t>
      </w:r>
      <w:r>
        <w:rPr>
          <w:rFonts w:ascii="仿宋_GB2312" w:eastAsia="仿宋_GB2312" w:hAnsi="宋体" w:hint="eastAsia"/>
          <w:bCs/>
          <w:sz w:val="28"/>
          <w:szCs w:val="28"/>
        </w:rPr>
        <w:t>专业建设成绩显著，法学专业、政治学与行政学专业和社会学专业被遴选为国家级特色专业。</w:t>
      </w:r>
    </w:p>
    <w:p w:rsidR="00E158AE" w:rsidRDefault="00E158AE" w:rsidP="00E158AE">
      <w:pPr>
        <w:ind w:firstLineChars="200" w:firstLine="560"/>
        <w:rPr>
          <w:rFonts w:ascii="仿宋_GB2312" w:eastAsia="仿宋_GB2312" w:hint="eastAsia"/>
          <w:sz w:val="28"/>
          <w:szCs w:val="28"/>
        </w:rPr>
      </w:pPr>
      <w:r>
        <w:rPr>
          <w:rFonts w:ascii="仿宋_GB2312" w:eastAsia="仿宋_GB2312" w:hint="eastAsia"/>
          <w:sz w:val="28"/>
          <w:szCs w:val="28"/>
        </w:rPr>
        <w:t>2012年，我校结合本科教学工程专业综合改革试点项目,组织法学专业、政治学与行政学专业申报了2012年度“专业综合改革试点”。同时，结合教育部本科专业目录修订工作，完成我校现设本科专业整理工作，启动侦查学专业特色化改造，学校和信息安全共性技术国家工程研究中心签署共建协议，共同将侦查学改造为“侦查学（网络犯罪侦查）”，完成了颇具亮点的特色化改造，从2012年开始培养国家迫切需要的网络犯罪侦查人才。</w:t>
      </w:r>
    </w:p>
    <w:p w:rsidR="00E158AE" w:rsidRDefault="00E158AE" w:rsidP="00E158AE">
      <w:pPr>
        <w:ind w:firstLineChars="200" w:firstLine="560"/>
        <w:rPr>
          <w:rFonts w:ascii="仿宋_GB2312" w:eastAsia="仿宋_GB2312" w:hint="eastAsia"/>
          <w:sz w:val="28"/>
          <w:szCs w:val="28"/>
        </w:rPr>
      </w:pPr>
      <w:r>
        <w:rPr>
          <w:rFonts w:ascii="仿宋_GB2312" w:eastAsia="仿宋_GB2312" w:hint="eastAsia"/>
          <w:sz w:val="28"/>
          <w:szCs w:val="28"/>
        </w:rPr>
        <w:t>学校以国家实施“本科教学工程”为契机，通过争取国家级项目来拼抢政策、资金支持和先行先试机会，强化、突出法学本科专业建设上的领跑地位和优势。在卓越法律人教育培养基地的评审中，成功地囊括了“应用型复合型”、“涉外型”和“西部基层型”全部三类基地的建设项目；我校“中国政法大学法学实验教学中心”成功地获评为“十二·五”期间国家重点建设的100个“国家级实验教学示范中心”中唯一的法学类“国家级实验教学示范中心”，获得200万元建设经费。</w:t>
      </w:r>
    </w:p>
    <w:p w:rsidR="00E158AE" w:rsidRDefault="00E158AE" w:rsidP="00E158AE">
      <w:pPr>
        <w:jc w:val="center"/>
        <w:rPr>
          <w:rFonts w:ascii="仿宋_GB2312" w:eastAsia="仿宋_GB2312" w:hint="eastAsia"/>
          <w:sz w:val="28"/>
          <w:szCs w:val="28"/>
        </w:rPr>
      </w:pPr>
    </w:p>
    <w:p w:rsidR="00E158AE" w:rsidRDefault="00E158AE" w:rsidP="00E158AE">
      <w:pPr>
        <w:spacing w:afterLines="20" w:after="62" w:line="240" w:lineRule="atLeast"/>
        <w:jc w:val="center"/>
        <w:rPr>
          <w:rFonts w:ascii="仿宋_GB2312" w:eastAsia="仿宋_GB2312" w:hint="eastAsia"/>
          <w:b/>
          <w:szCs w:val="21"/>
        </w:rPr>
      </w:pPr>
      <w:r>
        <w:rPr>
          <w:rFonts w:ascii="仿宋_GB2312" w:eastAsia="仿宋_GB2312" w:hint="eastAsia"/>
          <w:b/>
          <w:szCs w:val="21"/>
        </w:rPr>
        <w:t>本科专业及其学科支撑一览表</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731"/>
        <w:gridCol w:w="896"/>
        <w:gridCol w:w="3607"/>
        <w:gridCol w:w="711"/>
        <w:gridCol w:w="712"/>
      </w:tblGrid>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序</w:t>
            </w:r>
            <w:r>
              <w:rPr>
                <w:rFonts w:ascii="仿宋_GB2312" w:eastAsia="仿宋_GB2312" w:hint="eastAsia"/>
                <w:szCs w:val="21"/>
              </w:rPr>
              <w:lastRenderedPageBreak/>
              <w:t>号</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lastRenderedPageBreak/>
              <w:t>专业</w:t>
            </w:r>
          </w:p>
        </w:tc>
        <w:tc>
          <w:tcPr>
            <w:tcW w:w="89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授予</w:t>
            </w:r>
          </w:p>
          <w:p w:rsidR="00E158AE" w:rsidRDefault="00E158AE">
            <w:pPr>
              <w:rPr>
                <w:rFonts w:ascii="仿宋_GB2312" w:eastAsia="仿宋_GB2312" w:hint="eastAsia"/>
                <w:szCs w:val="21"/>
              </w:rPr>
            </w:pPr>
            <w:r>
              <w:rPr>
                <w:rFonts w:ascii="仿宋_GB2312" w:eastAsia="仿宋_GB2312" w:hint="eastAsia"/>
                <w:szCs w:val="21"/>
              </w:rPr>
              <w:lastRenderedPageBreak/>
              <w:t>学位</w:t>
            </w:r>
          </w:p>
        </w:tc>
        <w:tc>
          <w:tcPr>
            <w:tcW w:w="360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lastRenderedPageBreak/>
              <w:t>学科基础</w:t>
            </w: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设置</w:t>
            </w:r>
            <w:r>
              <w:rPr>
                <w:rFonts w:ascii="仿宋_GB2312" w:eastAsia="仿宋_GB2312" w:hint="eastAsia"/>
                <w:szCs w:val="21"/>
              </w:rPr>
              <w:lastRenderedPageBreak/>
              <w:t>年份</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lastRenderedPageBreak/>
              <w:t>招生</w:t>
            </w:r>
          </w:p>
          <w:p w:rsidR="00E158AE" w:rsidRDefault="00E158AE">
            <w:pPr>
              <w:rPr>
                <w:rFonts w:ascii="仿宋_GB2312" w:eastAsia="仿宋_GB2312" w:hint="eastAsia"/>
                <w:szCs w:val="21"/>
              </w:rPr>
            </w:pPr>
            <w:r>
              <w:rPr>
                <w:rFonts w:ascii="仿宋_GB2312" w:eastAsia="仿宋_GB2312" w:hint="eastAsia"/>
                <w:szCs w:val="21"/>
              </w:rPr>
              <w:lastRenderedPageBreak/>
              <w:t>年份</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lastRenderedPageBreak/>
              <w:t>1</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法学</w:t>
            </w:r>
          </w:p>
        </w:tc>
        <w:tc>
          <w:tcPr>
            <w:tcW w:w="896" w:type="dxa"/>
            <w:vMerge w:val="restart"/>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法学</w:t>
            </w:r>
          </w:p>
        </w:tc>
        <w:tc>
          <w:tcPr>
            <w:tcW w:w="360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法学一级学科国家重点学科，法学一级学科博士授权点</w:t>
            </w: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1954</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1954</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侦查学</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360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法学一级学科国家重点学科，法学一级学科博士授权点</w:t>
            </w: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2000</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2001</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3</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政治学与行政学</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3606" w:type="dxa"/>
            <w:vMerge w:val="restart"/>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smartTag w:uri="urn:schemas-microsoft-com:office:smarttags" w:element="PersonName">
              <w:smartTagPr>
                <w:attr w:name="ProductID" w:val="国际法"/>
              </w:smartTagPr>
              <w:r>
                <w:rPr>
                  <w:rFonts w:ascii="仿宋_GB2312" w:eastAsia="仿宋_GB2312" w:hint="eastAsia"/>
                  <w:szCs w:val="21"/>
                </w:rPr>
                <w:t>国际法</w:t>
              </w:r>
            </w:smartTag>
            <w:r>
              <w:rPr>
                <w:rFonts w:ascii="仿宋_GB2312" w:eastAsia="仿宋_GB2312" w:hint="eastAsia"/>
                <w:szCs w:val="21"/>
              </w:rPr>
              <w:t>博士点，政治学</w:t>
            </w:r>
            <w:bookmarkStart w:id="49" w:name="OLE_LINK4"/>
            <w:bookmarkStart w:id="50" w:name="OLE_LINK5"/>
            <w:r>
              <w:rPr>
                <w:rFonts w:ascii="仿宋_GB2312" w:eastAsia="仿宋_GB2312" w:hint="eastAsia"/>
                <w:szCs w:val="21"/>
              </w:rPr>
              <w:t>一级学科博士授权点</w:t>
            </w:r>
            <w:bookmarkEnd w:id="49"/>
            <w:bookmarkEnd w:id="50"/>
            <w:r>
              <w:rPr>
                <w:rFonts w:ascii="仿宋_GB2312" w:eastAsia="仿宋_GB2312" w:hint="eastAsia"/>
                <w:szCs w:val="21"/>
              </w:rPr>
              <w:t>、</w:t>
            </w:r>
            <w:r>
              <w:rPr>
                <w:rFonts w:ascii="仿宋_GB2312" w:eastAsia="仿宋_GB2312" w:cs="幼圆" w:hint="eastAsia"/>
                <w:bCs/>
                <w:kern w:val="0"/>
                <w:szCs w:val="21"/>
              </w:rPr>
              <w:t>一级学科北京市重点学科</w:t>
            </w: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1985</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1985</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4</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国际政治</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2001</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2002</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5</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行政管理</w:t>
            </w:r>
          </w:p>
        </w:tc>
        <w:tc>
          <w:tcPr>
            <w:tcW w:w="896" w:type="dxa"/>
            <w:vMerge w:val="restart"/>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管理学</w:t>
            </w:r>
          </w:p>
        </w:tc>
        <w:tc>
          <w:tcPr>
            <w:tcW w:w="3606" w:type="dxa"/>
            <w:vMerge w:val="restart"/>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工商管理、公共管理一级学科硕士授权点，MPA，政治学一级学科博士授权点，宪法学与行政法学、经济法学、环境法学等博士点</w:t>
            </w: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1989</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1989</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6</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公共事业管理</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2001</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2002</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7</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工商管理</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1993</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1994</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8</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经济学</w:t>
            </w:r>
          </w:p>
        </w:tc>
        <w:tc>
          <w:tcPr>
            <w:tcW w:w="896" w:type="dxa"/>
            <w:vMerge w:val="restart"/>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经济学</w:t>
            </w:r>
          </w:p>
        </w:tc>
        <w:tc>
          <w:tcPr>
            <w:tcW w:w="3606" w:type="dxa"/>
            <w:vMerge w:val="restart"/>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世界经济博士点，理论经济学、 应用经济学、工商管理一级学科硕士授权点，民商法学、经济法学、国际法学博士点</w:t>
            </w: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2001</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2002</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9</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国际商务</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2002</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2003</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10</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英语</w:t>
            </w:r>
          </w:p>
        </w:tc>
        <w:tc>
          <w:tcPr>
            <w:tcW w:w="896" w:type="dxa"/>
            <w:vMerge w:val="restart"/>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文学</w:t>
            </w:r>
          </w:p>
        </w:tc>
        <w:tc>
          <w:tcPr>
            <w:tcW w:w="3606" w:type="dxa"/>
            <w:vMerge w:val="restart"/>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外国语言文学一级学科硕士授权点、法学理论法律语言方向硕士点、比较法学博士点</w:t>
            </w: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1993</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1994</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11</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德语</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2003</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2004</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12</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新闻学</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3606" w:type="dxa"/>
            <w:vMerge w:val="restart"/>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新闻传播学一级学科硕士授权点、法学理论法制新闻方向硕士点、法律语言方向硕士点</w:t>
            </w: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2001</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2002</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13</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汉语言文学</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2002</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2003</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14</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哲学</w:t>
            </w:r>
          </w:p>
        </w:tc>
        <w:tc>
          <w:tcPr>
            <w:tcW w:w="89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哲学</w:t>
            </w:r>
          </w:p>
        </w:tc>
        <w:tc>
          <w:tcPr>
            <w:tcW w:w="360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哲学一级学科硕士授权点，法学理论博士点</w:t>
            </w: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2001</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2002</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15</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思想政治教育</w:t>
            </w:r>
          </w:p>
        </w:tc>
        <w:tc>
          <w:tcPr>
            <w:tcW w:w="896" w:type="dxa"/>
            <w:vMerge w:val="restart"/>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法学</w:t>
            </w:r>
          </w:p>
        </w:tc>
        <w:tc>
          <w:tcPr>
            <w:tcW w:w="360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马克思主义理论一级学科博士学位授权点，政治学理论博士点，法学一级学科博士授权点</w:t>
            </w: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1959</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1959</w:t>
            </w:r>
          </w:p>
        </w:tc>
      </w:tr>
      <w:tr w:rsidR="00E158AE" w:rsidTr="00E158AE">
        <w:trPr>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16</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社会学</w:t>
            </w: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E158AE" w:rsidRDefault="00E158AE">
            <w:pPr>
              <w:widowControl/>
              <w:jc w:val="left"/>
              <w:rPr>
                <w:rFonts w:ascii="仿宋_GB2312" w:eastAsia="仿宋_GB2312"/>
                <w:szCs w:val="21"/>
              </w:rPr>
            </w:pPr>
          </w:p>
        </w:tc>
        <w:tc>
          <w:tcPr>
            <w:tcW w:w="360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社会学</w:t>
            </w:r>
            <w:bookmarkStart w:id="51" w:name="OLE_LINK2"/>
            <w:bookmarkStart w:id="52" w:name="OLE_LINK3"/>
            <w:r>
              <w:rPr>
                <w:rFonts w:ascii="仿宋_GB2312" w:eastAsia="仿宋_GB2312" w:hint="eastAsia"/>
                <w:szCs w:val="21"/>
              </w:rPr>
              <w:t>一级学科硕士授权点</w:t>
            </w:r>
            <w:bookmarkEnd w:id="51"/>
            <w:bookmarkEnd w:id="52"/>
            <w:r>
              <w:rPr>
                <w:rFonts w:ascii="仿宋_GB2312" w:eastAsia="仿宋_GB2312" w:hint="eastAsia"/>
                <w:szCs w:val="21"/>
              </w:rPr>
              <w:t>，法学一级学科博士授权点</w:t>
            </w: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2001</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2001</w:t>
            </w:r>
          </w:p>
        </w:tc>
      </w:tr>
      <w:tr w:rsidR="00E158AE" w:rsidTr="00E158AE">
        <w:trPr>
          <w:trHeight w:val="765"/>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17</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应用心理学</w:t>
            </w:r>
          </w:p>
        </w:tc>
        <w:tc>
          <w:tcPr>
            <w:tcW w:w="89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理学</w:t>
            </w:r>
          </w:p>
        </w:tc>
        <w:tc>
          <w:tcPr>
            <w:tcW w:w="360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社会学、应用心理学一级学科硕士授权点，刑法学博士点</w:t>
            </w: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2005</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2006</w:t>
            </w:r>
          </w:p>
        </w:tc>
      </w:tr>
      <w:tr w:rsidR="00E158AE" w:rsidTr="00E158AE">
        <w:trPr>
          <w:trHeight w:val="180"/>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18</w:t>
            </w:r>
          </w:p>
        </w:tc>
        <w:tc>
          <w:tcPr>
            <w:tcW w:w="173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社会工作</w:t>
            </w:r>
          </w:p>
        </w:tc>
        <w:tc>
          <w:tcPr>
            <w:tcW w:w="89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法学</w:t>
            </w:r>
          </w:p>
        </w:tc>
        <w:tc>
          <w:tcPr>
            <w:tcW w:w="360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社会学一级学科硕士授权点，法学一级学科博士授权点</w:t>
            </w:r>
          </w:p>
        </w:tc>
        <w:tc>
          <w:tcPr>
            <w:tcW w:w="711"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2011</w:t>
            </w:r>
          </w:p>
        </w:tc>
        <w:tc>
          <w:tcPr>
            <w:tcW w:w="712" w:type="dxa"/>
            <w:tcBorders>
              <w:top w:val="single" w:sz="4" w:space="0" w:color="auto"/>
              <w:left w:val="single" w:sz="4" w:space="0" w:color="auto"/>
              <w:bottom w:val="single" w:sz="4" w:space="0" w:color="auto"/>
              <w:right w:val="single" w:sz="4" w:space="0" w:color="auto"/>
            </w:tcBorders>
            <w:vAlign w:val="center"/>
            <w:hideMark/>
          </w:tcPr>
          <w:p w:rsidR="00E158AE" w:rsidRDefault="00E158AE">
            <w:pPr>
              <w:rPr>
                <w:rFonts w:ascii="仿宋_GB2312" w:eastAsia="仿宋_GB2312" w:hint="eastAsia"/>
                <w:szCs w:val="21"/>
              </w:rPr>
            </w:pPr>
            <w:r>
              <w:rPr>
                <w:rFonts w:ascii="仿宋_GB2312" w:eastAsia="仿宋_GB2312" w:hint="eastAsia"/>
                <w:szCs w:val="21"/>
              </w:rPr>
              <w:t>2012</w:t>
            </w:r>
          </w:p>
        </w:tc>
      </w:tr>
    </w:tbl>
    <w:p w:rsidR="00E158AE" w:rsidRDefault="00E158AE" w:rsidP="00E158AE">
      <w:pPr>
        <w:rPr>
          <w:rFonts w:ascii="仿宋_GB2312" w:eastAsia="仿宋_GB2312" w:hint="eastAsia"/>
          <w:szCs w:val="21"/>
        </w:rPr>
      </w:pPr>
    </w:p>
    <w:p w:rsidR="00E158AE" w:rsidRDefault="00E158AE" w:rsidP="00E158AE">
      <w:pPr>
        <w:pStyle w:val="Heading3"/>
        <w:spacing w:before="156"/>
        <w:rPr>
          <w:rFonts w:hint="eastAsia"/>
        </w:rPr>
      </w:pPr>
      <w:bookmarkStart w:id="53" w:name="_Toc178743991"/>
      <w:bookmarkStart w:id="54" w:name="_Toc167629771"/>
      <w:bookmarkStart w:id="55" w:name="_Toc339824622"/>
      <w:r>
        <w:rPr>
          <w:rFonts w:hint="eastAsia"/>
        </w:rPr>
        <w:t>二、课程</w:t>
      </w:r>
      <w:bookmarkEnd w:id="53"/>
      <w:bookmarkEnd w:id="54"/>
      <w:r>
        <w:rPr>
          <w:rFonts w:hint="eastAsia"/>
        </w:rPr>
        <w:t>体系</w:t>
      </w:r>
      <w:bookmarkEnd w:id="55"/>
    </w:p>
    <w:p w:rsidR="00E158AE" w:rsidRDefault="00E158AE" w:rsidP="00E158AE">
      <w:pPr>
        <w:ind w:firstLineChars="200" w:firstLine="560"/>
        <w:rPr>
          <w:rFonts w:ascii="仿宋_GB2312" w:eastAsia="仿宋_GB2312"/>
          <w:sz w:val="28"/>
          <w:szCs w:val="28"/>
        </w:rPr>
      </w:pPr>
      <w:r>
        <w:rPr>
          <w:rFonts w:ascii="仿宋_GB2312" w:eastAsia="仿宋_GB2312" w:hint="eastAsia"/>
          <w:sz w:val="28"/>
          <w:szCs w:val="28"/>
        </w:rPr>
        <w:t>我校课程建设的总体思路是：以通识课程为平台拓宽知识口径，提高综合素质；以基础性课程为核心夯实理论基础，锤炼思维方式；以实务性课程为重点提升实践能力，打造专业素质；以精品课程为龙头，全面提升课程品质；以科学合理的教学内容和课程体系为指向，</w:t>
      </w:r>
      <w:r>
        <w:rPr>
          <w:rFonts w:ascii="仿宋_GB2312" w:eastAsia="仿宋_GB2312" w:hint="eastAsia"/>
          <w:sz w:val="28"/>
          <w:szCs w:val="28"/>
        </w:rPr>
        <w:lastRenderedPageBreak/>
        <w:t>实现培养目标，提升培养质量。2012年，学校开设各类课程882门。各专业总学分在160分左右，选修课与必修课的学分比例达到4:6，实践教学学分达到专业总学分的15%。</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Ansi="仿宋" w:hint="eastAsia"/>
          <w:kern w:val="0"/>
          <w:sz w:val="28"/>
          <w:szCs w:val="28"/>
        </w:rPr>
        <w:t>学校坚持“孕育人文精神，增加科学素养，锤炼公共品质，拓宽知识视野”的通识教育目标，进一步充实、丰满通识教育课程体系，</w:t>
      </w:r>
      <w:r>
        <w:rPr>
          <w:rFonts w:ascii="仿宋_GB2312" w:eastAsia="仿宋_GB2312" w:hint="eastAsia"/>
          <w:sz w:val="28"/>
          <w:szCs w:val="28"/>
        </w:rPr>
        <w:t>促进学生全面发展。学校于2010年开始进行第二轮通识教育改革，明确提出实施“有灵魂”的通识教育，把通识</w:t>
      </w:r>
      <w:r>
        <w:rPr>
          <w:rFonts w:ascii="仿宋_GB2312" w:eastAsia="仿宋_GB2312" w:hint="eastAsia"/>
          <w:color w:val="000000"/>
          <w:sz w:val="28"/>
          <w:szCs w:val="28"/>
        </w:rPr>
        <w:t>教育提升到打造“文明熔炉”的高度，设置《中华文明通论》与《西方文明通论》两门少而精的共同必修课作为通识教育的核心，同时在2012年试运行《科学技术通论》和《艺术与审美通论》，扩大通识必修课的规模；以“人文素质类”、“社会科学类”、“自然科学类”三类13门通识主干课程为支撑；以220多门一般通识选修课程为必要拓展与补充的科学、丰满的通识课程体系。这种以打造文明熔炉为指向、高质量、体系化、中西兼通的通识核心课在提升学生的综合素质塑造学生健全的人格与科学合理的知识结构方面发挥了基础性的作用。</w:t>
      </w:r>
    </w:p>
    <w:p w:rsidR="00E158AE" w:rsidRDefault="00E158AE" w:rsidP="00E158AE">
      <w:pPr>
        <w:ind w:firstLineChars="200" w:firstLine="560"/>
        <w:rPr>
          <w:rFonts w:ascii="仿宋_GB2312" w:eastAsia="仿宋_GB2312" w:hint="eastAsia"/>
          <w:sz w:val="28"/>
          <w:szCs w:val="28"/>
        </w:rPr>
      </w:pPr>
      <w:r>
        <w:rPr>
          <w:rFonts w:ascii="仿宋_GB2312" w:eastAsia="仿宋_GB2312" w:hint="eastAsia"/>
          <w:color w:val="000000"/>
          <w:sz w:val="28"/>
          <w:szCs w:val="28"/>
        </w:rPr>
        <w:t>专业课程体系得到优化，课程建设成绩显著，教学方法改革进一步深化。学校加大专业课程改革力度，逐步形成讲授课、研讨课和案例课相结合，理论教学与实践教学相结合的专业课程体系。在传统讲授课程之外形成了以案例教学法和研讨教学法为主要教学方法的两大类课程体系。案例课集中运用案例教学法，从具体案例出发引导学生发现问题并解决问题，训练并提高了学生的问题意识和解决问题的能力。研讨课以学生进行研究性学习为主，广泛采用合作式、讨论式</w:t>
      </w:r>
      <w:r>
        <w:rPr>
          <w:rFonts w:ascii="仿宋_GB2312" w:eastAsia="仿宋_GB2312" w:hint="eastAsia"/>
          <w:color w:val="000000"/>
          <w:sz w:val="28"/>
          <w:szCs w:val="28"/>
        </w:rPr>
        <w:lastRenderedPageBreak/>
        <w:t>教学方法，激发了学生进行科学研究的积极性，训练了学生进行科学研究的能力和精神。案例课和研讨课实现了学生课下撰写案例分析报告、专题研究报告与课上讨论的两结合，学生的学习热情普遍高涨，学习投入普遍加大，对于养成学生学习的积极性、主动性和思维批判性</w:t>
      </w:r>
      <w:r>
        <w:rPr>
          <w:rFonts w:ascii="仿宋_GB2312" w:eastAsia="仿宋_GB2312" w:hint="eastAsia"/>
          <w:sz w:val="28"/>
          <w:szCs w:val="28"/>
        </w:rPr>
        <w:t>、创造性具有重要意义。</w:t>
      </w:r>
      <w:r>
        <w:rPr>
          <w:rFonts w:ascii="仿宋_GB2312" w:eastAsia="仿宋_GB2312" w:hAnsi="宋体" w:hint="eastAsia"/>
          <w:bCs/>
          <w:sz w:val="28"/>
          <w:szCs w:val="28"/>
        </w:rPr>
        <w:t>以课程体系改革为抓手，使案例教学、研讨教学等教学方法得到进一步推广，教师和学生的主体性和积极性得到进一步提高。学校课程建设工作取得明显成绩，</w:t>
      </w:r>
      <w:r>
        <w:rPr>
          <w:rFonts w:ascii="仿宋_GB2312" w:eastAsia="仿宋_GB2312" w:hAnsi="宋体" w:hint="eastAsia"/>
          <w:sz w:val="28"/>
          <w:szCs w:val="28"/>
        </w:rPr>
        <w:t>共建成国家级精品课程7门，北京市精品课程11门，校级精品课程67门，国家级精品视频公开课1门。双语教学工作成效明显，全校开设</w:t>
      </w:r>
      <w:r>
        <w:rPr>
          <w:rFonts w:ascii="仿宋_GB2312" w:eastAsia="仿宋_GB2312" w:hint="eastAsia"/>
          <w:sz w:val="28"/>
        </w:rPr>
        <w:t>双语课程达到37门，建成国家级双语教学示范课程6门。</w:t>
      </w:r>
    </w:p>
    <w:p w:rsidR="00E158AE" w:rsidRDefault="00E158AE" w:rsidP="00E158AE">
      <w:pPr>
        <w:pStyle w:val="Heading3"/>
        <w:spacing w:before="156"/>
        <w:rPr>
          <w:rFonts w:hint="eastAsia"/>
        </w:rPr>
      </w:pPr>
      <w:bookmarkStart w:id="56" w:name="_Toc339824623"/>
      <w:r>
        <w:rPr>
          <w:rFonts w:hint="eastAsia"/>
        </w:rPr>
        <w:t>三、教材建设</w:t>
      </w:r>
      <w:bookmarkEnd w:id="56"/>
    </w:p>
    <w:p w:rsidR="00E158AE" w:rsidRDefault="00E158AE" w:rsidP="00E158AE">
      <w:pPr>
        <w:ind w:firstLineChars="200" w:firstLine="560"/>
        <w:rPr>
          <w:rFonts w:ascii="仿宋_GB2312" w:eastAsia="仿宋_GB2312" w:hAnsi="宋体"/>
          <w:bCs/>
          <w:color w:val="000000"/>
          <w:sz w:val="28"/>
          <w:szCs w:val="28"/>
        </w:rPr>
      </w:pPr>
      <w:r>
        <w:rPr>
          <w:rFonts w:ascii="仿宋_GB2312" w:eastAsia="仿宋_GB2312" w:hint="eastAsia"/>
          <w:sz w:val="28"/>
          <w:szCs w:val="28"/>
        </w:rPr>
        <w:t>我校教材建设成效显著，法学教材建设成果尤为突</w:t>
      </w:r>
      <w:r>
        <w:rPr>
          <w:rFonts w:ascii="仿宋_GB2312" w:eastAsia="仿宋_GB2312" w:hint="eastAsia"/>
          <w:color w:val="000000"/>
          <w:sz w:val="28"/>
          <w:szCs w:val="28"/>
        </w:rPr>
        <w:t>出。几乎所有国内法学统编教材都有我校教授参与编写，有些由我校教授担任主编、副主编或编委。</w:t>
      </w:r>
      <w:r>
        <w:rPr>
          <w:rFonts w:ascii="仿宋_GB2312" w:eastAsia="仿宋_GB2312" w:hAnsi="宋体" w:hint="eastAsia"/>
          <w:bCs/>
          <w:color w:val="000000"/>
          <w:sz w:val="28"/>
          <w:szCs w:val="28"/>
        </w:rPr>
        <w:t>学校完成了18个专业893门课程教学大纲的编写工作，在“马工程”重点教材编写工作中，全校共有33名教师获聘为课题组首席专家和主要成员，在两批共14种法学教材中，我校共有9名教授获批成为首席专家；获得教育部、司法部优秀教材奖16项，北京市高等教育精品教材22部，获“十二五”国家级规划教材立项教材7种。</w:t>
      </w:r>
    </w:p>
    <w:p w:rsidR="00E158AE" w:rsidRDefault="00E158AE" w:rsidP="00E158AE">
      <w:pPr>
        <w:spacing w:afterLines="20" w:after="62" w:line="240" w:lineRule="atLeast"/>
        <w:jc w:val="center"/>
        <w:rPr>
          <w:rFonts w:ascii="仿宋_GB2312" w:eastAsia="仿宋_GB2312" w:hint="eastAsia"/>
          <w:b/>
          <w:color w:val="000000"/>
          <w:szCs w:val="21"/>
        </w:rPr>
      </w:pPr>
    </w:p>
    <w:p w:rsidR="00E158AE" w:rsidRDefault="00E158AE" w:rsidP="00E158AE">
      <w:pPr>
        <w:spacing w:afterLines="20" w:after="62" w:line="240" w:lineRule="atLeast"/>
        <w:jc w:val="center"/>
        <w:rPr>
          <w:rFonts w:ascii="仿宋_GB2312" w:eastAsia="仿宋_GB2312" w:hint="eastAsia"/>
          <w:b/>
          <w:color w:val="000000"/>
          <w:szCs w:val="21"/>
        </w:rPr>
      </w:pPr>
      <w:r>
        <w:rPr>
          <w:rFonts w:ascii="仿宋_GB2312" w:eastAsia="仿宋_GB2312" w:hint="eastAsia"/>
          <w:b/>
          <w:color w:val="000000"/>
          <w:szCs w:val="21"/>
        </w:rPr>
        <w:t>教材建设成果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4386"/>
        <w:gridCol w:w="1588"/>
      </w:tblGrid>
      <w:tr w:rsidR="00E158AE" w:rsidTr="00E158AE">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序号</w:t>
            </w:r>
          </w:p>
        </w:tc>
        <w:tc>
          <w:tcPr>
            <w:tcW w:w="43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类别</w:t>
            </w:r>
          </w:p>
        </w:tc>
        <w:tc>
          <w:tcPr>
            <w:tcW w:w="1588"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数量</w:t>
            </w:r>
          </w:p>
        </w:tc>
      </w:tr>
      <w:tr w:rsidR="00E158AE" w:rsidTr="00E158AE">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1</w:t>
            </w:r>
          </w:p>
        </w:tc>
        <w:tc>
          <w:tcPr>
            <w:tcW w:w="43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教育部马克思主义理论研究和建设工程教材</w:t>
            </w:r>
          </w:p>
        </w:tc>
        <w:tc>
          <w:tcPr>
            <w:tcW w:w="1588"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33</w:t>
            </w:r>
          </w:p>
        </w:tc>
      </w:tr>
      <w:tr w:rsidR="00E158AE" w:rsidTr="00E158AE">
        <w:trPr>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2</w:t>
            </w:r>
          </w:p>
        </w:tc>
        <w:tc>
          <w:tcPr>
            <w:tcW w:w="43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国家“十二五”规划教材</w:t>
            </w:r>
          </w:p>
        </w:tc>
        <w:tc>
          <w:tcPr>
            <w:tcW w:w="1588"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7</w:t>
            </w:r>
          </w:p>
        </w:tc>
      </w:tr>
      <w:tr w:rsidR="00E158AE" w:rsidTr="00E158AE">
        <w:trPr>
          <w:trHeight w:val="361"/>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lastRenderedPageBreak/>
              <w:t>3</w:t>
            </w:r>
          </w:p>
        </w:tc>
        <w:tc>
          <w:tcPr>
            <w:tcW w:w="43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北京市高等教育精品教材</w:t>
            </w:r>
          </w:p>
        </w:tc>
        <w:tc>
          <w:tcPr>
            <w:tcW w:w="1588"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22</w:t>
            </w:r>
          </w:p>
        </w:tc>
      </w:tr>
      <w:tr w:rsidR="00E158AE" w:rsidTr="00E158AE">
        <w:trPr>
          <w:trHeight w:val="405"/>
          <w:jc w:val="center"/>
        </w:trPr>
        <w:tc>
          <w:tcPr>
            <w:tcW w:w="843"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4</w:t>
            </w:r>
          </w:p>
        </w:tc>
        <w:tc>
          <w:tcPr>
            <w:tcW w:w="4386"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本校教师自建教材与选用教材</w:t>
            </w:r>
          </w:p>
        </w:tc>
        <w:tc>
          <w:tcPr>
            <w:tcW w:w="1588" w:type="dxa"/>
            <w:tcBorders>
              <w:top w:val="single" w:sz="4" w:space="0" w:color="auto"/>
              <w:left w:val="single" w:sz="4" w:space="0" w:color="auto"/>
              <w:bottom w:val="single" w:sz="4" w:space="0" w:color="auto"/>
              <w:right w:val="single" w:sz="4" w:space="0" w:color="auto"/>
            </w:tcBorders>
            <w:vAlign w:val="center"/>
            <w:hideMark/>
          </w:tcPr>
          <w:p w:rsidR="00E158AE" w:rsidRDefault="00E158AE">
            <w:pPr>
              <w:jc w:val="center"/>
              <w:rPr>
                <w:rFonts w:ascii="仿宋_GB2312" w:eastAsia="仿宋_GB2312" w:hint="eastAsia"/>
                <w:color w:val="000000"/>
              </w:rPr>
            </w:pPr>
            <w:r>
              <w:rPr>
                <w:rFonts w:ascii="仿宋_GB2312" w:eastAsia="仿宋_GB2312" w:hint="eastAsia"/>
                <w:color w:val="000000"/>
              </w:rPr>
              <w:t>1020</w:t>
            </w:r>
          </w:p>
        </w:tc>
      </w:tr>
    </w:tbl>
    <w:p w:rsidR="00E158AE" w:rsidRDefault="00E158AE" w:rsidP="00E158AE">
      <w:pPr>
        <w:pStyle w:val="Heading3"/>
        <w:spacing w:before="156"/>
        <w:rPr>
          <w:rFonts w:hint="eastAsia"/>
        </w:rPr>
      </w:pPr>
      <w:bookmarkStart w:id="57" w:name="_Toc339824624"/>
      <w:r>
        <w:rPr>
          <w:rFonts w:hint="eastAsia"/>
        </w:rPr>
        <w:t>四、实践教学</w:t>
      </w:r>
      <w:bookmarkEnd w:id="57"/>
      <w:r>
        <w:t xml:space="preserve"> </w:t>
      </w:r>
    </w:p>
    <w:p w:rsidR="00E158AE" w:rsidRDefault="00E158AE" w:rsidP="00E158AE">
      <w:pPr>
        <w:ind w:firstLineChars="200" w:firstLine="560"/>
        <w:rPr>
          <w:rFonts w:ascii="仿宋_GB2312" w:eastAsia="仿宋_GB2312"/>
          <w:color w:val="000000"/>
          <w:sz w:val="28"/>
          <w:szCs w:val="28"/>
        </w:rPr>
      </w:pPr>
      <w:r>
        <w:rPr>
          <w:rFonts w:ascii="仿宋_GB2312" w:eastAsia="仿宋_GB2312" w:hint="eastAsia"/>
          <w:color w:val="000000"/>
          <w:sz w:val="28"/>
          <w:szCs w:val="28"/>
        </w:rPr>
        <w:t>1.基于全新的人才培养模式搭建的制度框架，我校构建了特色鲜明的实践教学体系，即以培养学生创新精神和实践能力为宗旨，以人才培养模式和实践课程体系改革为依托，以课内实验教学环节与独立实践教学环节为两翼，以专业实习、社会实践、校外人才培养基地、专业实验室、诊所法律教育中心和模拟法庭教学为主体，以国内外学科竞赛为平台，以毕业论文工作改革和学生科研创新项目的开展为抓手，形成全实践教学环节联合培养和多模块立体整合机制。</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Ansi="宋体" w:hint="eastAsia"/>
          <w:bCs/>
          <w:color w:val="000000"/>
          <w:sz w:val="28"/>
          <w:szCs w:val="28"/>
        </w:rPr>
        <w:t>2.学校成立了专门的实践教学组织机构和管理机构，</w:t>
      </w:r>
      <w:r>
        <w:rPr>
          <w:rFonts w:ascii="仿宋_GB2312" w:eastAsia="仿宋_GB2312" w:hint="eastAsia"/>
          <w:color w:val="000000"/>
          <w:sz w:val="28"/>
          <w:szCs w:val="28"/>
        </w:rPr>
        <w:t>搭建了多种形式、特色鲜明、优势互补的实践育人平台，积极推动实践教学改革</w:t>
      </w:r>
      <w:r>
        <w:rPr>
          <w:rFonts w:ascii="仿宋_GB2312" w:eastAsia="仿宋_GB2312" w:hAnsi="宋体" w:hint="eastAsia"/>
          <w:bCs/>
          <w:color w:val="000000"/>
          <w:sz w:val="28"/>
          <w:szCs w:val="28"/>
        </w:rPr>
        <w:t>。学校以国家级法学实验教学中心建设为龙头，</w:t>
      </w:r>
      <w:r>
        <w:rPr>
          <w:rFonts w:ascii="仿宋_GB2312" w:eastAsia="仿宋_GB2312" w:hint="eastAsia"/>
          <w:color w:val="000000"/>
          <w:sz w:val="28"/>
          <w:szCs w:val="28"/>
        </w:rPr>
        <w:t>与10所高校进行深入的交流合作，积极推进建立标准化的法学实验教学模式和实验课程，</w:t>
      </w:r>
      <w:r>
        <w:rPr>
          <w:rFonts w:ascii="仿宋_GB2312" w:eastAsia="仿宋_GB2312" w:hAnsi="宋体" w:hint="eastAsia"/>
          <w:color w:val="000000"/>
          <w:sz w:val="28"/>
          <w:szCs w:val="28"/>
        </w:rPr>
        <w:t>充分发挥中心的示范辐射作用。</w:t>
      </w:r>
      <w:r>
        <w:rPr>
          <w:rFonts w:ascii="仿宋_GB2312" w:eastAsia="仿宋_GB2312" w:hAnsi="宋体" w:hint="eastAsia"/>
          <w:bCs/>
          <w:color w:val="000000"/>
          <w:sz w:val="28"/>
          <w:szCs w:val="28"/>
        </w:rPr>
        <w:t>以承办北京市大学生模拟法庭竞赛为契机，</w:t>
      </w:r>
      <w:r>
        <w:rPr>
          <w:rFonts w:ascii="仿宋_GB2312" w:eastAsia="仿宋_GB2312" w:hint="eastAsia"/>
          <w:color w:val="000000"/>
          <w:sz w:val="28"/>
          <w:szCs w:val="28"/>
        </w:rPr>
        <w:t>探索实施</w:t>
      </w:r>
      <w:r>
        <w:rPr>
          <w:rFonts w:ascii="仿宋_GB2312" w:eastAsia="仿宋_GB2312" w:hAnsi="宋体" w:hint="eastAsia"/>
          <w:bCs/>
          <w:color w:val="000000"/>
          <w:sz w:val="28"/>
          <w:szCs w:val="28"/>
        </w:rPr>
        <w:t>“高校-实务部门”联合培养机制。2009-2012年，</w:t>
      </w:r>
      <w:r>
        <w:rPr>
          <w:rFonts w:ascii="仿宋_GB2312" w:eastAsia="仿宋_GB2312" w:hint="eastAsia"/>
          <w:color w:val="000000"/>
          <w:sz w:val="28"/>
          <w:szCs w:val="28"/>
        </w:rPr>
        <w:t>我校已承办四届北京市大学生模拟法庭竞赛，参赛高校由首届的16所扩大到第四届的32所，500多名学生直接参加竞赛，550多人次具有丰富理论知识和实务经验的教师、实务界人士担任指导教师和比赛评委，20000多人次到场观摩本校选拔赛和正式比赛。该项赛事已经成全国规模最大的法学专业实践性竞赛。</w:t>
      </w:r>
    </w:p>
    <w:p w:rsidR="00E158AE" w:rsidRDefault="00E158AE" w:rsidP="00E158AE">
      <w:pPr>
        <w:ind w:firstLineChars="196" w:firstLine="549"/>
        <w:rPr>
          <w:rFonts w:ascii="仿宋_GB2312" w:eastAsia="仿宋_GB2312" w:hint="eastAsia"/>
          <w:color w:val="000000"/>
          <w:sz w:val="28"/>
          <w:szCs w:val="28"/>
        </w:rPr>
      </w:pPr>
      <w:r>
        <w:rPr>
          <w:rFonts w:ascii="仿宋_GB2312" w:eastAsia="仿宋_GB2312" w:hint="eastAsia"/>
          <w:color w:val="000000"/>
          <w:sz w:val="28"/>
          <w:szCs w:val="28"/>
        </w:rPr>
        <w:t>3. 学校在本科人才培养过程中，深入开展“同步实践教学模式”。从建设庭审同步直播教师、卷宗副本阅览室等方式加强学生实践教学</w:t>
      </w:r>
      <w:r>
        <w:rPr>
          <w:rFonts w:ascii="仿宋_GB2312" w:eastAsia="仿宋_GB2312" w:hint="eastAsia"/>
          <w:color w:val="000000"/>
          <w:sz w:val="28"/>
          <w:szCs w:val="28"/>
        </w:rPr>
        <w:lastRenderedPageBreak/>
        <w:t>的培训。2012年，教务处与多家法院签订共建协议，实施同步直播庭审。通过信息技术将“庭审实况”通过同步直播搬进课堂，在学校教室中实现学生可以全天全程地远程旁听、观摩全国范围内法院的现场庭审实况，在国内外高校中尚属首创。这一举措，是标志着我校率先在全国实施“同步实践教学模式”的改革和探索。通过同步直播，利用先进的信息技术手段，与全国范围内的典型、特色、先进司法机关进行实质合作，同步直播庭审实况，将庭审的整个过程实时地从法庭“搬进”课堂，让学生能够在“法庭”内、能够庭审现场完成四年的法学专业学习。庭审同步直播是学校“同步实践教学模式”改革和探索的重要举措之一，随着“同步实践教学模式”的一系列举措的全面付诸实施，我校在人才培养中全面启动和全国司法机关的优质资源的互换、互用，让实践教学和理论知识的检验能够实时地深度嵌入到司法实务的每一个环节，实现了校内实践教学尤其是课堂实践教学由“静”到“动”、由图上演练、理论推演到实时融入司法现场、过程的彻底转变，实现了法学专业人才培养中优质司法资源的实时利用，实现了理论教学和司法过程的无缝衔接，开创了法学专业应用型、复合型、技能型人才培养的全新模式。“庭审同步直播”进课堂的正式启动，让我校学生足不出户就能够在“法庭”氛围中完成自己专业知识的学习、体会、感悟，以及同步完成理论知识的实践比对和检验。截止到2012年底，学校与国内６家区县级检察院、3家基层法院签订了新型共建协议，接收原始案例卷宗复印副本。其中馆藏的复印副本已经达到6000套左右。新型共建协议的签署以及检察、审判案例原</w:t>
      </w:r>
      <w:r>
        <w:rPr>
          <w:rFonts w:ascii="仿宋_GB2312" w:eastAsia="仿宋_GB2312" w:hint="eastAsia"/>
          <w:color w:val="000000"/>
          <w:sz w:val="28"/>
          <w:szCs w:val="28"/>
        </w:rPr>
        <w:lastRenderedPageBreak/>
        <w:t>始卷宗副本的捐赠，在法学人才教育培养中的意义重大而深远，是法学院校在案例教学中抛弃“学理案例”、“人造案例”和使用真实判例、真实案卷的开始，是真正意义的案例教学的开始。它是法学人才培养模式改革中迈出的重要一步。</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4.创新工作机制，着力提高学生的创新能力。学校制定了《“国家大学生创新性实验计划”实施管理办法》、《推荐优秀应届本科毕业生免试攻读硕士学位研究生办法》等，从学分认定、成绩评定、成果奖励、推荐免试攻读研究生等多方面鼓励学生参加科研创新。学校搭建多种学术平台，尽其可能地创造条件让学生较早参加科研和创新活动，实现创新性研究与实践教学的结合。鼓励教师开放自己的研究课题，引领学生参与其中，使学生的社会调查能力和科学研究能力得到了明显的提升。</w:t>
      </w:r>
      <w:r>
        <w:rPr>
          <w:rFonts w:ascii="仿宋_GB2312" w:eastAsia="仿宋_GB2312" w:hAnsi="宋体" w:hint="eastAsia"/>
          <w:bCs/>
          <w:color w:val="000000"/>
          <w:sz w:val="28"/>
          <w:szCs w:val="28"/>
        </w:rPr>
        <w:t>截止2012年，学校共资助各级创新创业项目1000余项，项目参与学生3000余人。学校建成6个法律诊所，学生共接待法律咨询4000多人次，受理案件900余件。校外人才培养基地建设进展顺利，建成校外实践教学基地已经达到280个，实现了95%学生进入基地集中实习。实施毕业论文体裁多样化改革，优化毕业论文质量控制环节。</w:t>
      </w:r>
    </w:p>
    <w:p w:rsidR="00E158AE" w:rsidRDefault="00E158AE" w:rsidP="00E158AE">
      <w:pPr>
        <w:pStyle w:val="Heading3"/>
        <w:spacing w:before="156"/>
        <w:rPr>
          <w:rFonts w:hint="eastAsia"/>
        </w:rPr>
      </w:pPr>
      <w:bookmarkStart w:id="58" w:name="_Toc339824625"/>
      <w:r>
        <w:rPr>
          <w:rFonts w:hint="eastAsia"/>
        </w:rPr>
        <w:t>五、教育教学改革</w:t>
      </w:r>
      <w:bookmarkEnd w:id="58"/>
      <w:r>
        <w:t xml:space="preserve"> </w:t>
      </w:r>
    </w:p>
    <w:p w:rsidR="00E158AE" w:rsidRDefault="00E158AE" w:rsidP="00E158AE">
      <w:pPr>
        <w:widowControl/>
        <w:tabs>
          <w:tab w:val="num" w:pos="360"/>
        </w:tabs>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1. 不断完善人才培养模式改革。</w:t>
      </w:r>
      <w:r>
        <w:rPr>
          <w:rFonts w:ascii="仿宋_GB2312" w:eastAsia="仿宋_GB2312" w:hint="eastAsia"/>
          <w:color w:val="000000"/>
          <w:sz w:val="28"/>
          <w:szCs w:val="28"/>
        </w:rPr>
        <w:t>学校</w:t>
      </w:r>
      <w:r>
        <w:rPr>
          <w:rFonts w:ascii="仿宋_GB2312" w:eastAsia="仿宋_GB2312" w:hAnsi="宋体" w:hint="eastAsia"/>
          <w:color w:val="000000"/>
          <w:sz w:val="28"/>
          <w:szCs w:val="28"/>
        </w:rPr>
        <w:t>以复合知识、丰富阅历、开拓视野为目标，不断加大教育资源的整合力度，着眼于打通专业、学位、学校和国家的界限，积极创新和拓展教育平台，实施了“跨专业、跨学位、跨学校、跨国家”的“四跨”型人才培养模</w:t>
      </w:r>
      <w:r>
        <w:rPr>
          <w:rFonts w:ascii="仿宋_GB2312" w:eastAsia="仿宋_GB2312" w:hAnsi="宋体" w:hint="eastAsia"/>
          <w:color w:val="000000"/>
          <w:sz w:val="28"/>
          <w:szCs w:val="28"/>
        </w:rPr>
        <w:lastRenderedPageBreak/>
        <w:t>式，这一模式包括了双专业双学位制度、辅修专业制度、国内外名校交流制度等内容。</w:t>
      </w:r>
    </w:p>
    <w:p w:rsidR="00E158AE" w:rsidRDefault="00E158AE" w:rsidP="00E158AE">
      <w:pPr>
        <w:widowControl/>
        <w:tabs>
          <w:tab w:val="num" w:pos="360"/>
        </w:tabs>
        <w:ind w:firstLineChars="200" w:firstLine="560"/>
        <w:jc w:val="left"/>
        <w:rPr>
          <w:rFonts w:ascii="仿宋_GB2312" w:eastAsia="仿宋_GB2312" w:hint="eastAsia"/>
          <w:color w:val="000000"/>
          <w:sz w:val="28"/>
          <w:szCs w:val="28"/>
        </w:rPr>
      </w:pPr>
      <w:r>
        <w:rPr>
          <w:rFonts w:ascii="仿宋_GB2312" w:eastAsia="仿宋_GB2312" w:hAnsi="宋体" w:hint="eastAsia"/>
          <w:color w:val="000000"/>
          <w:sz w:val="28"/>
          <w:szCs w:val="28"/>
        </w:rPr>
        <w:t>2.法学专业人才培养模式改革继续走在国家法学教育改革前列。2008年学校经教育部批准招收了全国唯一的“法学人才培养模式改革实验班”，开展了高级法律职业人才的六年两阶段贯通培养改革。2008年，学校成为首批“政法院校招录培养体制改革试点”院校，</w:t>
      </w:r>
      <w:r>
        <w:rPr>
          <w:rFonts w:ascii="仿宋_GB2312" w:eastAsia="仿宋_GB2312" w:hint="eastAsia"/>
          <w:color w:val="000000"/>
          <w:sz w:val="28"/>
          <w:szCs w:val="28"/>
        </w:rPr>
        <w:t>为中西部地区基层政法机关定向培养应用型人才。2010年，学校法学专业“高级法律职业人才培养模式改革”获批成为国家教育体制改革试点项目。2012年，我校六年制法学人才培养模式改革实验班已扩至每年招生200人，其中2008级实验班学生已经完成基础学习阶段，进入到应用学习阶段，多数学生已经在各种校外实习实践基地进行应用技能的学习，收获颇丰，而且社会反响良好。</w:t>
      </w:r>
    </w:p>
    <w:p w:rsidR="00E158AE" w:rsidRDefault="00E158AE" w:rsidP="00E158AE">
      <w:pPr>
        <w:widowControl/>
        <w:tabs>
          <w:tab w:val="num" w:pos="360"/>
        </w:tabs>
        <w:ind w:firstLineChars="200" w:firstLine="560"/>
        <w:jc w:val="left"/>
        <w:rPr>
          <w:rFonts w:ascii="仿宋_GB2312" w:eastAsia="仿宋_GB2312" w:hAnsi="宋体" w:hint="eastAsia"/>
          <w:color w:val="000000"/>
          <w:sz w:val="28"/>
          <w:szCs w:val="28"/>
        </w:rPr>
      </w:pPr>
      <w:r>
        <w:rPr>
          <w:rFonts w:ascii="仿宋_GB2312" w:eastAsia="仿宋_GB2312" w:hint="eastAsia"/>
          <w:color w:val="000000"/>
          <w:sz w:val="28"/>
          <w:szCs w:val="28"/>
        </w:rPr>
        <w:t>3.成思危现代金融菁英班正式招生。我校在改造已有的数理经济与金融实验班，建立成思危现代金融菁英班，经济学专业人才培养模式改革深入推进。2012年度我校成思危现代金融菁英班正式开始招生，首届共招收50名学生。“成思危现代金融菁英班”培养具有创新思维、国际化视野、较深厚的现代经济学与金融学的理论素养，掌握现代经济学分析工具、能够娴熟地进行金融数量化分析的高级专门人才。实验班突出现代经济学和金融学前沿理论与分析技术的学习，加强对数学研究方法和基本分析工具的教学。学生修满经济学和数学课程学分可以获得经济学、理学学士学位。“成思危现</w:t>
      </w:r>
      <w:r>
        <w:rPr>
          <w:rFonts w:ascii="仿宋_GB2312" w:eastAsia="仿宋_GB2312" w:hint="eastAsia"/>
          <w:color w:val="000000"/>
          <w:sz w:val="28"/>
          <w:szCs w:val="28"/>
        </w:rPr>
        <w:lastRenderedPageBreak/>
        <w:t>代金融菁英班”的建设工作显著提升了我校经济学专业人才培养质量，同时有力的推动了我校经济学学科的发展。</w:t>
      </w:r>
    </w:p>
    <w:p w:rsidR="00E158AE" w:rsidRDefault="00E158AE" w:rsidP="00E158AE">
      <w:pPr>
        <w:ind w:firstLineChars="200" w:firstLine="560"/>
        <w:rPr>
          <w:rFonts w:ascii="仿宋_GB2312" w:eastAsia="仿宋_GB2312" w:hAnsi="宋体" w:hint="eastAsia"/>
          <w:bCs/>
          <w:color w:val="000000"/>
          <w:sz w:val="28"/>
          <w:szCs w:val="28"/>
        </w:rPr>
      </w:pPr>
      <w:r>
        <w:rPr>
          <w:rFonts w:ascii="仿宋_GB2312" w:eastAsia="仿宋_GB2312" w:hint="eastAsia"/>
          <w:color w:val="000000"/>
          <w:sz w:val="28"/>
          <w:szCs w:val="28"/>
        </w:rPr>
        <w:t>4.探索实施教学助理制，深入推进考试制度改革。制定《中国政法大学教学助理制实施办法》，协助主讲教师开展常规性课外答疑、与学生就学习问题进行沟通交流、组织开展读书辅导、批改学生作业和试卷以及相关实验实践教学工作。创新多样化课外教学活动形式，制定科学、合理、操作性强的考核体系与岗位资助标准，保障教学助理制度在加强对学生的学习辅导方面发挥实效。强化学习过程控制和管理，加强教学过程的形成性评价，降低期末考试权重，形成更加科学合理的学生考核评价方式，对学生的总体评价中，形成性评价的比重占到50%以上。</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5.加大教育教学改革项目资助力度，鼓励教师投身教学改革。学校一贯重视教学改革的研究与实践，通过制订《中国政法大学教学改革项目立项管理办法》、《中国政法大学教学成果认定办法》、《中国政法大学教学成果奖励办法》等文件，加强教学改革研究的制度建设和平台建设，提供经费和政策保障，鼓励教师投身教学改革。2012年，我校教育教学改革立项44项，委托立项20项，共资助金额125万元。学校组织了全校性的教学观摩、评课、教学竞赛等多项具体工作，各院部也通过研究所、教研室会议、专题研讨会、学术沙龙等各种组织形式，交流研讨教学方法改革的思路、方法、成果和经验。近年来我校获选的国家级和北京市级教学名师都是积极进行课堂教学方法改革、教学效果好、深受学生欢迎的教师。</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lastRenderedPageBreak/>
        <w:t>6. 创新实施虚拟第三学期制度。2012年，我校开始实施虚拟的第三学期学业修读模式，这一模式以网络课程教学为主要载体，实施“循环开课、自主修读、统一考核”的修读模式，改革现行的“春季学期+秋季学期”的既有的教学运行周期性安排，突破教师、教师、教学进度等在传统上限制教学活动组织实施的形式条件，借助于网络学习平台的形式，进一步丰富教学内容和教学资源、延展教学运行的周期、强化学生在学业修读过程中的主动性与能动性，进而将学生的自主学业修读活动贯穿于学生大学学业修读的全过程。</w:t>
      </w:r>
    </w:p>
    <w:p w:rsidR="00E158AE" w:rsidRDefault="00E158AE" w:rsidP="00E158AE">
      <w:pPr>
        <w:pStyle w:val="Heading3"/>
        <w:spacing w:before="156"/>
        <w:rPr>
          <w:rFonts w:hint="eastAsia"/>
        </w:rPr>
      </w:pPr>
      <w:bookmarkStart w:id="59" w:name="_Toc339824626"/>
      <w:r>
        <w:rPr>
          <w:rFonts w:hint="eastAsia"/>
        </w:rPr>
        <w:t>六、国内外合作与交流</w:t>
      </w:r>
      <w:bookmarkEnd w:id="59"/>
    </w:p>
    <w:p w:rsidR="00E158AE" w:rsidRDefault="00E158AE" w:rsidP="00E158AE">
      <w:pPr>
        <w:ind w:firstLineChars="200" w:firstLine="560"/>
        <w:rPr>
          <w:rFonts w:ascii="仿宋_GB2312" w:eastAsia="仿宋_GB2312"/>
          <w:color w:val="000000"/>
          <w:sz w:val="28"/>
          <w:szCs w:val="28"/>
        </w:rPr>
      </w:pPr>
      <w:r>
        <w:rPr>
          <w:rFonts w:ascii="仿宋_GB2312" w:eastAsia="仿宋_GB2312" w:hint="eastAsia"/>
          <w:color w:val="000000"/>
          <w:sz w:val="28"/>
          <w:szCs w:val="28"/>
        </w:rPr>
        <w:t>1．实施国内名校交流交换培养模式，进一步拓宽人才培养渠道。自2005年开始，学校先后与山东大学、武汉大学、中山大学、吉林大学、浙江大学、厦门大学和华东师范大学等7所高校签订了本科生合作培养协议。每学期派出一定数量的学生到合作高校学习，同时接收合作学校的学生到我校学习，进行交换培养。2012年，本科生交换交流培养人数约为300余人。国内名校交换交流培养模式是学校拓宽人才培养渠道、提高人才培养质量的一种新尝试。强化了学生在不同环境下的学习适应能力，有助于学生在国内名校优质学科资源中自主学习。</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实施国际化发展战略，培养学生的国际意识、国际视野与国际竞争能力。通过国际交流与合作，培养教师和学生的国际意识、国际视野、国际交往能力和国际竞争能力，提升大学的国际影响力和竞争力。学校实施了国（境）外名校交换交流人才培养模式。我校与英</w:t>
      </w:r>
      <w:r>
        <w:rPr>
          <w:rFonts w:ascii="仿宋_GB2312" w:eastAsia="仿宋_GB2312" w:hint="eastAsia"/>
          <w:color w:val="000000"/>
          <w:sz w:val="28"/>
          <w:szCs w:val="28"/>
        </w:rPr>
        <w:lastRenderedPageBreak/>
        <w:t>国牛津大学、加拿大蒙特利尔大学、德国科隆大学等几十所国外名校有合作交流协议，每年均派学生赴英国、美国、加拿大、韩国、日本、俄罗斯、新西兰、埃及等国家以及我国港澳台地区名校交流学习。为顺利实施国境外名校交换交流培养模式，学校制订了</w:t>
      </w:r>
      <w:bookmarkStart w:id="60" w:name="_Toc135106122"/>
      <w:r>
        <w:rPr>
          <w:rFonts w:ascii="仿宋_GB2312" w:eastAsia="仿宋_GB2312" w:hint="eastAsia"/>
          <w:color w:val="000000"/>
          <w:sz w:val="28"/>
          <w:szCs w:val="28"/>
        </w:rPr>
        <w:t>《本科生到境外大学交流学习学分认定办法</w:t>
      </w:r>
      <w:bookmarkEnd w:id="60"/>
      <w:r>
        <w:rPr>
          <w:rFonts w:ascii="仿宋_GB2312" w:eastAsia="仿宋_GB2312" w:hint="eastAsia"/>
          <w:color w:val="000000"/>
          <w:sz w:val="28"/>
          <w:szCs w:val="28"/>
        </w:rPr>
        <w:t>》等制度，规范学生在国境外大学的课程修读和返校后的学分认定工作。国境外名校交流交流培养模式的开展，大大提高了学生的综合素质和国际竞争力，丰富了学生的人生阅历，扩大了学生的国际视野，在一定程度上也为学生将来的海外留学打下了基础，为这些学生的成长、成才创造了良好的条件，也大大地提升了我校的国境外知名度。</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3．在实施国际化战略的过程中，学校成立了中欧法学院。中欧法学院是中国政府和欧盟之间的政府间合作项目，项目实施的目标之一就是最大限度地扩展优质教育资源的效益。中欧法学院既有代表中国法学教育和中国法律传统的优质教育资源，又有欧洲13所著名大学代表欧洲5个法律传统的优质教育资源。学校将中欧法学院的所有课程，向本校各层次学生全面开放，各专业本科生既可以通过旁听课程、开设讲座、参加座谈的方式，也可以通过将中欧法学院相关课程列入本专业培养方案计算学分等各种适当方式享用中欧法学院的优质教育资源。</w:t>
      </w:r>
    </w:p>
    <w:p w:rsidR="00E158AE" w:rsidRDefault="00E158AE" w:rsidP="00E158AE">
      <w:pPr>
        <w:pStyle w:val="Heading2"/>
        <w:spacing w:before="156"/>
        <w:rPr>
          <w:rFonts w:hint="eastAsia"/>
        </w:rPr>
      </w:pPr>
      <w:bookmarkStart w:id="61" w:name="_Toc339824627"/>
      <w:bookmarkStart w:id="62" w:name="_Toc339118963"/>
      <w:r>
        <w:rPr>
          <w:rFonts w:hint="eastAsia"/>
        </w:rPr>
        <w:t>第五部分 质量保证体系建设</w:t>
      </w:r>
      <w:bookmarkEnd w:id="61"/>
      <w:bookmarkEnd w:id="62"/>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Ansi="黑体" w:hint="eastAsia"/>
          <w:color w:val="000000"/>
          <w:sz w:val="28"/>
          <w:szCs w:val="28"/>
        </w:rPr>
        <w:t>学校</w:t>
      </w:r>
      <w:r>
        <w:rPr>
          <w:rFonts w:ascii="仿宋_GB2312" w:eastAsia="仿宋_GB2312" w:hAnsi="仿宋" w:hint="eastAsia"/>
          <w:color w:val="000000"/>
          <w:sz w:val="28"/>
          <w:szCs w:val="28"/>
        </w:rPr>
        <w:t>坚定不移地把本科教学作为学校最基础、最根本的工作，领导精力、师资力量、资源配置、经费安排和工作评价都要体现以教学</w:t>
      </w:r>
      <w:r>
        <w:rPr>
          <w:rFonts w:ascii="仿宋_GB2312" w:eastAsia="仿宋_GB2312" w:hAnsi="仿宋" w:hint="eastAsia"/>
          <w:color w:val="000000"/>
          <w:sz w:val="28"/>
          <w:szCs w:val="28"/>
        </w:rPr>
        <w:lastRenderedPageBreak/>
        <w:t>为中心。持之以恒地全面强化教学管理组织体系建设，以《本科教学运行质量报告》为依据，把本科教学质量作为考核学院党政一把手和领导班子的重要指标。</w:t>
      </w:r>
      <w:r>
        <w:rPr>
          <w:rFonts w:ascii="仿宋_GB2312" w:eastAsia="仿宋_GB2312" w:hAnsi="宋体" w:hint="eastAsia"/>
          <w:bCs/>
          <w:color w:val="000000"/>
          <w:sz w:val="28"/>
          <w:szCs w:val="28"/>
        </w:rPr>
        <w:t>学校建立了</w:t>
      </w:r>
      <w:r>
        <w:rPr>
          <w:rFonts w:ascii="仿宋_GB2312" w:eastAsia="仿宋_GB2312" w:hint="eastAsia"/>
          <w:color w:val="000000"/>
          <w:sz w:val="28"/>
          <w:szCs w:val="28"/>
        </w:rPr>
        <w:t>贯穿于教学、管理和服务的全过程的质量保障体系。形成了围绕教学中心工作各司其职、良性互动的高效质量管理模式。2007年，学校以“优秀”的成绩通过了教育部的本科教学工作水平评估。</w:t>
      </w:r>
    </w:p>
    <w:p w:rsidR="00E158AE" w:rsidRDefault="00E158AE" w:rsidP="00E158AE">
      <w:pPr>
        <w:pStyle w:val="Heading3"/>
        <w:spacing w:before="156"/>
        <w:rPr>
          <w:rFonts w:hint="eastAsia"/>
        </w:rPr>
      </w:pPr>
      <w:bookmarkStart w:id="63" w:name="_Toc339824628"/>
      <w:r>
        <w:rPr>
          <w:rFonts w:hint="eastAsia"/>
        </w:rPr>
        <w:t>一、教学规章制度的建设与执行</w:t>
      </w:r>
      <w:bookmarkEnd w:id="63"/>
    </w:p>
    <w:p w:rsidR="00E158AE" w:rsidRDefault="00E158AE" w:rsidP="00E158AE">
      <w:pPr>
        <w:ind w:firstLineChars="200" w:firstLine="560"/>
        <w:rPr>
          <w:rFonts w:ascii="仿宋_GB2312" w:eastAsia="仿宋_GB2312"/>
          <w:color w:val="000000"/>
          <w:sz w:val="28"/>
          <w:szCs w:val="28"/>
        </w:rPr>
      </w:pPr>
      <w:r>
        <w:rPr>
          <w:rFonts w:ascii="仿宋_GB2312" w:eastAsia="仿宋_GB2312" w:hint="eastAsia"/>
          <w:color w:val="000000"/>
          <w:sz w:val="28"/>
          <w:szCs w:val="28"/>
        </w:rPr>
        <w:t>作为一所法科特色鲜明的高等学府，我校历来重视教学管理制度的建设，努力构建具有法大特色的教学管理制度体系。近年来，学校实施“依法治校”战略，强调学校的管理应该是“法式管理”，为主动适应高等教育快速发展以及深化教育教学改革的需要，学校对已有的教学管理制度进行了全面修订，并新制定了一系列规章制度，在此基础上出台了《中国政法大学本科教学管理典》，以“典”的形式促进本科教学管理的规范化和科学化，提高教学管理水平，保证人才培养质量，实现学校的人才培养目标。《本科教学管理典》充分体现了全面教育质量管理和以人为本的理念，内容全面，基本涵盖了教学管理的全部领域和所有环节，体系合理，操作性强，是规范教学活动的根本依据。</w:t>
      </w:r>
    </w:p>
    <w:p w:rsidR="00E158AE" w:rsidRDefault="00E158AE" w:rsidP="00E158AE">
      <w:pPr>
        <w:pStyle w:val="Heading3"/>
        <w:spacing w:before="156"/>
        <w:rPr>
          <w:rFonts w:hint="eastAsia"/>
        </w:rPr>
      </w:pPr>
      <w:bookmarkStart w:id="64" w:name="_Toc339824629"/>
      <w:r>
        <w:rPr>
          <w:rFonts w:hint="eastAsia"/>
        </w:rPr>
        <w:t>二、各主要教学环节的质量标准</w:t>
      </w:r>
      <w:bookmarkEnd w:id="64"/>
    </w:p>
    <w:p w:rsidR="00E158AE" w:rsidRDefault="00E158AE" w:rsidP="00E158AE">
      <w:pPr>
        <w:spacing w:afterLines="20" w:after="62" w:line="240" w:lineRule="atLeast"/>
        <w:ind w:firstLineChars="200" w:firstLine="560"/>
        <w:rPr>
          <w:rFonts w:ascii="仿宋_GB2312" w:eastAsia="仿宋_GB2312"/>
          <w:b/>
          <w:color w:val="000000"/>
          <w:szCs w:val="21"/>
        </w:rPr>
      </w:pPr>
      <w:r>
        <w:rPr>
          <w:rFonts w:ascii="仿宋_GB2312" w:eastAsia="仿宋_GB2312" w:hint="eastAsia"/>
          <w:color w:val="000000"/>
          <w:sz w:val="28"/>
          <w:szCs w:val="28"/>
        </w:rPr>
        <w:t>多年来，学校紧紧围绕人才培养目标，遵循高等教育教学规律，认真践行全面教育质量观，加强质量建设。通过科学设定质量目标，加强质量保障组织建设，规范教学质量标准，完善质量监控体系，努</w:t>
      </w:r>
      <w:r>
        <w:rPr>
          <w:rFonts w:ascii="仿宋_GB2312" w:eastAsia="仿宋_GB2312" w:hint="eastAsia"/>
          <w:color w:val="000000"/>
          <w:sz w:val="28"/>
          <w:szCs w:val="28"/>
        </w:rPr>
        <w:lastRenderedPageBreak/>
        <w:t>力构建具有法大特色的教学质量保障体系。经过长期努力，以《中国政法大学本科教学质量保障典》为核心的教学质量保障体系已初步形成。《本科教学质量保障典》以全面质量管理为理论基础，以学校人才培养目标为质量核心，将管理、服务与教学纳入质量保障的统一体，确立人才培养质量要素的基本目标，围绕基本目标明确学校各质量保障主体的职责，并通过和谐、高效、能动的组织与运行程序和科学严谨的质量标准规范，使本科教学质量处于有效监控状态。</w:t>
      </w:r>
    </w:p>
    <w:p w:rsidR="00E158AE" w:rsidRDefault="00E158AE" w:rsidP="00E158AE">
      <w:pPr>
        <w:spacing w:afterLines="20" w:after="62" w:line="240" w:lineRule="atLeast"/>
        <w:jc w:val="center"/>
        <w:rPr>
          <w:rFonts w:ascii="仿宋_GB2312" w:eastAsia="仿宋_GB2312" w:hint="eastAsia"/>
          <w:b/>
          <w:color w:val="000000"/>
          <w:szCs w:val="21"/>
        </w:rPr>
      </w:pPr>
      <w:r>
        <w:rPr>
          <w:rFonts w:ascii="仿宋_GB2312" w:eastAsia="仿宋_GB2312" w:hint="eastAsia"/>
          <w:b/>
          <w:color w:val="000000"/>
          <w:szCs w:val="21"/>
        </w:rPr>
        <w:t>主要教学环节质量标准一览表</w:t>
      </w:r>
    </w:p>
    <w:tbl>
      <w:tblPr>
        <w:tblW w:w="9060" w:type="dxa"/>
        <w:jc w:val="center"/>
        <w:tblLayout w:type="fixed"/>
        <w:tblLook w:val="04A0" w:firstRow="1" w:lastRow="0" w:firstColumn="1" w:lastColumn="0" w:noHBand="0" w:noVBand="1"/>
      </w:tblPr>
      <w:tblGrid>
        <w:gridCol w:w="983"/>
        <w:gridCol w:w="3577"/>
        <w:gridCol w:w="1620"/>
        <w:gridCol w:w="1260"/>
        <w:gridCol w:w="1620"/>
      </w:tblGrid>
      <w:tr w:rsidR="00E158AE" w:rsidTr="00E158AE">
        <w:trPr>
          <w:trHeight w:val="19"/>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教学环节</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质量标准</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评价主体</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评价对象</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方法</w:t>
            </w:r>
          </w:p>
        </w:tc>
      </w:tr>
      <w:tr w:rsidR="00E158AE" w:rsidTr="00E158AE">
        <w:trPr>
          <w:trHeight w:val="19"/>
          <w:jc w:val="center"/>
        </w:trPr>
        <w:tc>
          <w:tcPr>
            <w:tcW w:w="984" w:type="dxa"/>
            <w:vMerge w:val="restart"/>
            <w:tcBorders>
              <w:top w:val="single" w:sz="4" w:space="0" w:color="000000"/>
              <w:left w:val="single" w:sz="4" w:space="0" w:color="000000"/>
              <w:bottom w:val="nil"/>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理论(课堂)教学</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本科课堂教学质量评价指标体系（学生用）</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学生</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教师</w:t>
            </w:r>
          </w:p>
        </w:tc>
        <w:tc>
          <w:tcPr>
            <w:tcW w:w="1620" w:type="dxa"/>
            <w:vMerge w:val="restart"/>
            <w:tcBorders>
              <w:top w:val="single" w:sz="4" w:space="0" w:color="000000"/>
              <w:left w:val="single" w:sz="4" w:space="0" w:color="000000"/>
              <w:bottom w:val="nil"/>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定量与定性结合</w:t>
            </w:r>
          </w:p>
        </w:tc>
      </w:tr>
      <w:tr w:rsidR="00E158AE" w:rsidTr="00E158AE">
        <w:trPr>
          <w:trHeight w:val="19"/>
          <w:jc w:val="center"/>
        </w:trPr>
        <w:tc>
          <w:tcPr>
            <w:tcW w:w="984" w:type="dxa"/>
            <w:vMerge/>
            <w:tcBorders>
              <w:top w:val="single" w:sz="4" w:space="0" w:color="000000"/>
              <w:left w:val="single" w:sz="4" w:space="0" w:color="000000"/>
              <w:bottom w:val="nil"/>
              <w:right w:val="single" w:sz="4" w:space="0" w:color="000000"/>
            </w:tcBorders>
            <w:vAlign w:val="center"/>
            <w:hideMark/>
          </w:tcPr>
          <w:p w:rsidR="00E158AE" w:rsidRDefault="00E158AE">
            <w:pPr>
              <w:widowControl/>
              <w:jc w:val="left"/>
              <w:rPr>
                <w:rFonts w:ascii="仿宋_GB2312" w:eastAsia="仿宋_GB2312"/>
                <w:color w:val="000000"/>
                <w:sz w:val="18"/>
                <w:szCs w:val="18"/>
              </w:rPr>
            </w:pP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本科课堂听课评价指标体系（教师用）</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同行专家、管理人员、教学督导员</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教师、学生</w:t>
            </w:r>
          </w:p>
        </w:tc>
        <w:tc>
          <w:tcPr>
            <w:tcW w:w="1620" w:type="dxa"/>
            <w:vMerge/>
            <w:tcBorders>
              <w:top w:val="single" w:sz="4" w:space="0" w:color="000000"/>
              <w:left w:val="single" w:sz="4" w:space="0" w:color="000000"/>
              <w:bottom w:val="nil"/>
              <w:right w:val="single" w:sz="4" w:space="0" w:color="000000"/>
            </w:tcBorders>
            <w:vAlign w:val="center"/>
            <w:hideMark/>
          </w:tcPr>
          <w:p w:rsidR="00E158AE" w:rsidRDefault="00E158AE">
            <w:pPr>
              <w:widowControl/>
              <w:jc w:val="left"/>
              <w:rPr>
                <w:rFonts w:ascii="仿宋_GB2312" w:eastAsia="仿宋_GB2312"/>
                <w:color w:val="000000"/>
                <w:sz w:val="18"/>
                <w:szCs w:val="18"/>
              </w:rPr>
            </w:pPr>
          </w:p>
        </w:tc>
      </w:tr>
      <w:tr w:rsidR="00E158AE" w:rsidTr="00E158AE">
        <w:trPr>
          <w:trHeight w:val="19"/>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实验教学</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本科实验教学质量标准</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管理人员、教师</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教师</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定量</w:t>
            </w:r>
          </w:p>
        </w:tc>
      </w:tr>
      <w:tr w:rsidR="00E158AE" w:rsidTr="00E158AE">
        <w:trPr>
          <w:trHeight w:val="19"/>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专业实习</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本科生专业实习考核表</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教师</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学生</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定量与定性结合</w:t>
            </w:r>
          </w:p>
        </w:tc>
      </w:tr>
      <w:tr w:rsidR="00E158AE" w:rsidTr="00E158AE">
        <w:trPr>
          <w:trHeight w:val="19"/>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学年论文</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学年论文登记表</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教师</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学生</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定性</w:t>
            </w:r>
          </w:p>
        </w:tc>
      </w:tr>
      <w:tr w:rsidR="00E158AE" w:rsidTr="00E158AE">
        <w:trPr>
          <w:trHeight w:val="19"/>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毕业论文</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本科生毕业论文撰写规范</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教师</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毕业论文</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定量与定性结合</w:t>
            </w:r>
          </w:p>
        </w:tc>
      </w:tr>
      <w:tr w:rsidR="00E158AE" w:rsidTr="00E158AE">
        <w:trPr>
          <w:trHeight w:val="19"/>
          <w:jc w:val="center"/>
        </w:trPr>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E158AE" w:rsidRDefault="00E158AE">
            <w:pPr>
              <w:widowControl/>
              <w:jc w:val="left"/>
              <w:rPr>
                <w:rFonts w:ascii="仿宋_GB2312" w:eastAsia="仿宋_GB2312"/>
                <w:color w:val="000000"/>
                <w:sz w:val="18"/>
                <w:szCs w:val="18"/>
              </w:rPr>
            </w:pP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本科生毕业论文评分标准</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教师</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毕业论文</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定量</w:t>
            </w:r>
          </w:p>
        </w:tc>
      </w:tr>
      <w:tr w:rsidR="00E158AE" w:rsidTr="00E158AE">
        <w:trPr>
          <w:trHeight w:val="19"/>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考试</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本科试卷分析统计表</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教师</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试卷</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定量与定性结合</w:t>
            </w:r>
          </w:p>
        </w:tc>
      </w:tr>
      <w:tr w:rsidR="00E158AE" w:rsidTr="00E158AE">
        <w:trPr>
          <w:trHeight w:val="19"/>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专业</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专业建设质量评价标准</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教学指导委员会</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专业</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定量与定性结合</w:t>
            </w:r>
          </w:p>
        </w:tc>
      </w:tr>
      <w:tr w:rsidR="00E158AE" w:rsidTr="00E158AE">
        <w:trPr>
          <w:trHeight w:val="19"/>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课程</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课程建设质量标准</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专家</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课程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定量与定性结合</w:t>
            </w:r>
          </w:p>
        </w:tc>
      </w:tr>
      <w:tr w:rsidR="00E158AE" w:rsidTr="00E158AE">
        <w:trPr>
          <w:trHeight w:val="19"/>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精品课程</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精品课程建设评估指标体系</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教学指导委员会</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精品课程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定量与定性结合</w:t>
            </w:r>
          </w:p>
        </w:tc>
      </w:tr>
      <w:tr w:rsidR="00E158AE" w:rsidTr="00E158AE">
        <w:trPr>
          <w:trHeight w:val="19"/>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教材</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教材质量评估标准</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专家</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教材</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定量</w:t>
            </w:r>
          </w:p>
        </w:tc>
      </w:tr>
      <w:tr w:rsidR="00E158AE" w:rsidTr="00E158AE">
        <w:trPr>
          <w:trHeight w:val="19"/>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精品教材</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精品教材评价指标体系</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教学指导委员会</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精品教材</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定量</w:t>
            </w:r>
          </w:p>
        </w:tc>
      </w:tr>
      <w:tr w:rsidR="00E158AE" w:rsidTr="00E158AE">
        <w:trPr>
          <w:trHeight w:val="19"/>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多媒体教学课件</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多媒体教学课件质量评价标准</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专家</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多媒体课件</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定量</w:t>
            </w:r>
          </w:p>
        </w:tc>
      </w:tr>
      <w:tr w:rsidR="00E158AE" w:rsidTr="00E158AE">
        <w:trPr>
          <w:trHeight w:val="19"/>
          <w:jc w:val="center"/>
        </w:trPr>
        <w:tc>
          <w:tcPr>
            <w:tcW w:w="984"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教学管理与纪律</w:t>
            </w:r>
          </w:p>
        </w:tc>
        <w:tc>
          <w:tcPr>
            <w:tcW w:w="3577"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教学事故认定标准</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学校</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教师、</w:t>
            </w:r>
          </w:p>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管理人员</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E158AE" w:rsidRDefault="00E158AE">
            <w:pPr>
              <w:jc w:val="center"/>
              <w:rPr>
                <w:rFonts w:ascii="仿宋_GB2312" w:eastAsia="仿宋_GB2312" w:hint="eastAsia"/>
                <w:color w:val="000000"/>
                <w:sz w:val="18"/>
                <w:szCs w:val="18"/>
              </w:rPr>
            </w:pPr>
            <w:r>
              <w:rPr>
                <w:rFonts w:ascii="仿宋_GB2312" w:eastAsia="仿宋_GB2312" w:hint="eastAsia"/>
                <w:color w:val="000000"/>
                <w:sz w:val="18"/>
                <w:szCs w:val="18"/>
              </w:rPr>
              <w:t>定量与定性结合</w:t>
            </w:r>
          </w:p>
        </w:tc>
      </w:tr>
    </w:tbl>
    <w:p w:rsidR="00E158AE" w:rsidRDefault="00E158AE" w:rsidP="00E158AE">
      <w:pPr>
        <w:pStyle w:val="Heading3"/>
        <w:spacing w:before="156"/>
        <w:rPr>
          <w:rFonts w:hint="eastAsia"/>
        </w:rPr>
      </w:pPr>
      <w:bookmarkStart w:id="65" w:name="_Toc339824630"/>
      <w:r>
        <w:rPr>
          <w:rFonts w:hint="eastAsia"/>
        </w:rPr>
        <w:t>三、教学质量监控</w:t>
      </w:r>
      <w:bookmarkEnd w:id="65"/>
    </w:p>
    <w:p w:rsidR="00E158AE" w:rsidRDefault="00E158AE" w:rsidP="00E158AE">
      <w:pPr>
        <w:ind w:firstLineChars="200" w:firstLine="560"/>
        <w:rPr>
          <w:rFonts w:ascii="仿宋_GB2312" w:eastAsia="仿宋_GB2312"/>
          <w:color w:val="000000"/>
          <w:sz w:val="28"/>
          <w:szCs w:val="28"/>
        </w:rPr>
      </w:pPr>
      <w:r>
        <w:rPr>
          <w:rFonts w:ascii="仿宋_GB2312" w:eastAsia="仿宋_GB2312" w:hint="eastAsia"/>
          <w:color w:val="000000"/>
          <w:sz w:val="28"/>
          <w:szCs w:val="28"/>
        </w:rPr>
        <w:t>学校的质量监控坚持“全面管理、全程监控、全员参与”原则。全面管理是指将教学、管理与服务等影响教学质量的所有要素纳入教</w:t>
      </w:r>
      <w:r>
        <w:rPr>
          <w:rFonts w:ascii="仿宋_GB2312" w:eastAsia="仿宋_GB2312" w:hint="eastAsia"/>
          <w:color w:val="000000"/>
          <w:sz w:val="28"/>
          <w:szCs w:val="28"/>
        </w:rPr>
        <w:lastRenderedPageBreak/>
        <w:t>学质量保障的统一体，而不仅限于教学活动；全程监控是指对人才培养的全过程进行监控；全员参与是指学校的所有主体都有监督和保障教学质量的责任和权利，所有的主体都是教学质量监督和保障的主体。本科课堂教学质量评价每学期开展一次，通过学生评教、督导员评教、同行专家评教、管理人员评教等多种形式，对教学状况和质量进行综合评价。据统计，2011-2012年秋季学期，学生参加评教达75890人次，受评教师617人次，受评课程569门次，同行专家、教学督导员及管理人员听课127学时，学生评教平均分数为92.65，优良率为98.89%；春季学期，学生参加评教达68488人次，参评率为91.65%，受评教师632人次，受评课程570门次。同行专家、教学督导员及管理人员听课135学时，学生评教平均分数为93.78，优良率为98.22%；多主体、多维度的课堂教学评价，最大限度地保障了评价的客观性和公正性，有效地促进了课堂教学质量的提高。</w:t>
      </w:r>
    </w:p>
    <w:p w:rsidR="00E158AE" w:rsidRDefault="00E158AE" w:rsidP="00E158AE">
      <w:pPr>
        <w:ind w:firstLineChars="200" w:firstLine="560"/>
        <w:rPr>
          <w:rFonts w:ascii="仿宋_GB2312" w:eastAsia="仿宋_GB2312" w:hint="eastAsia"/>
          <w:color w:val="000000"/>
          <w:sz w:val="28"/>
          <w:szCs w:val="28"/>
          <w:u w:val="single"/>
        </w:rPr>
      </w:pPr>
      <w:r>
        <w:rPr>
          <w:rFonts w:ascii="仿宋_GB2312" w:eastAsia="仿宋_GB2312" w:hint="eastAsia"/>
          <w:color w:val="000000"/>
          <w:sz w:val="28"/>
          <w:szCs w:val="28"/>
        </w:rPr>
        <w:t>学校非常重视教学信息的收集和反馈，每学期都进行例行的教学检查，了解开学前的教学准备情况、教学计划的执行情况、教师教学情况、学生学习情况以及教学保障与服务等信息，并就考试、实习、毕业论文等工作进行专项检查。此外，还通过听课、座谈、问卷调查、教学督导、BBS、网络研学平台等多种形式和手段，广泛收集教学质量信息。教务处运用教育测量与评价技术，对收集的各种信息进行分析处理，并及时向院部和相关职能部门反馈，督促其改进和提高。学校还坚持教学质量信息公布制度，如每学期发布《本科教学运行质量报告》，对本科课堂教学质量进行评价和诊断，并提出改进建议，取</w:t>
      </w:r>
      <w:r>
        <w:rPr>
          <w:rFonts w:ascii="仿宋_GB2312" w:eastAsia="仿宋_GB2312" w:hint="eastAsia"/>
          <w:color w:val="000000"/>
          <w:sz w:val="28"/>
          <w:szCs w:val="28"/>
        </w:rPr>
        <w:lastRenderedPageBreak/>
        <w:t>得了明显效果。教学质量监控体系的有效运行，强化了教职工的质量意识，提高了教学管理和服务水平，巩固了教学中心地位，也使教学基本建设得到加强，教学资源配置更加合理，教学公共服务体系更加完善，从而在根本上保证了人才培养质量。</w:t>
      </w:r>
    </w:p>
    <w:p w:rsidR="00E158AE" w:rsidRDefault="00E158AE" w:rsidP="00E158AE">
      <w:pPr>
        <w:pStyle w:val="Heading2"/>
        <w:spacing w:before="156"/>
        <w:rPr>
          <w:rFonts w:hint="eastAsia"/>
        </w:rPr>
      </w:pPr>
      <w:bookmarkStart w:id="66" w:name="_Toc339824631"/>
      <w:bookmarkStart w:id="67" w:name="_Toc339118964"/>
      <w:r>
        <w:rPr>
          <w:rFonts w:hint="eastAsia"/>
        </w:rPr>
        <w:t>第六部分 教学效果</w:t>
      </w:r>
      <w:bookmarkEnd w:id="66"/>
      <w:bookmarkEnd w:id="67"/>
    </w:p>
    <w:p w:rsidR="00E158AE" w:rsidRDefault="00E158AE" w:rsidP="00E158AE">
      <w:pPr>
        <w:pStyle w:val="Heading3"/>
        <w:spacing w:before="156"/>
        <w:rPr>
          <w:rFonts w:hint="eastAsia"/>
        </w:rPr>
      </w:pPr>
      <w:bookmarkStart w:id="68" w:name="_Toc339824632"/>
      <w:r>
        <w:rPr>
          <w:rFonts w:hint="eastAsia"/>
        </w:rPr>
        <w:t>一、学生获奖情况</w:t>
      </w:r>
      <w:bookmarkEnd w:id="68"/>
      <w:r>
        <w:t xml:space="preserve"> </w:t>
      </w:r>
    </w:p>
    <w:p w:rsidR="00E158AE" w:rsidRDefault="00E158AE" w:rsidP="00E158AE">
      <w:pPr>
        <w:ind w:firstLineChars="200" w:firstLine="560"/>
        <w:rPr>
          <w:rFonts w:ascii="仿宋_GB2312" w:eastAsia="仿宋_GB2312" w:hAnsi="宋体"/>
          <w:bCs/>
          <w:sz w:val="28"/>
          <w:szCs w:val="28"/>
        </w:rPr>
      </w:pPr>
      <w:r>
        <w:rPr>
          <w:rFonts w:ascii="仿宋_GB2312" w:eastAsia="仿宋_GB2312" w:hAnsi="宋体" w:hint="eastAsia"/>
          <w:bCs/>
          <w:sz w:val="28"/>
          <w:szCs w:val="28"/>
        </w:rPr>
        <w:t>近年来，我校人才培养质量进一步提高，学生参加国内学科竞赛多次获奖。我校学生获得各类国际国内学科竞赛60余项。</w:t>
      </w:r>
    </w:p>
    <w:p w:rsidR="00E158AE" w:rsidRDefault="00E158AE" w:rsidP="00E158AE">
      <w:pPr>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全国性竞赛中，我校学生在2012年全国大学生英语竞赛中分别获得特等奖、一等奖、二等奖、三等奖；第17届“21世纪杯”全国大学生英语演讲比赛（全国总决赛）全国总决赛三等奖；2012年国际刑事法院审判竞赛（中国赛区）集体优异一等奖、最佳被告人书状奖、最佳被害人书状奖、最佳检察官辩手奖；第五届“北外-万慧达”杯知识产权模拟法庭竞赛获得亚军和最佳书状奖；在“高教社杯”全国大学生数学建模竞赛等国家级竞赛中获得二等奖。</w:t>
      </w:r>
    </w:p>
    <w:p w:rsidR="00E158AE" w:rsidRDefault="00E158AE" w:rsidP="00E158AE">
      <w:pPr>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省部级竞赛中，我校学生获得第十六届</w:t>
      </w:r>
      <w:r>
        <w:rPr>
          <w:rFonts w:ascii="仿宋_GB2312" w:eastAsia="仿宋_GB2312" w:hAnsi="宋体" w:hint="eastAsia"/>
          <w:bCs/>
          <w:sz w:val="28"/>
          <w:szCs w:val="28"/>
        </w:rPr>
        <w:t> </w:t>
      </w:r>
      <w:r>
        <w:rPr>
          <w:rFonts w:ascii="仿宋_GB2312" w:eastAsia="仿宋_GB2312" w:hAnsi="宋体" w:hint="eastAsia"/>
          <w:bCs/>
          <w:sz w:val="28"/>
          <w:szCs w:val="28"/>
        </w:rPr>
        <w:t>“外研社杯·亚马逊杯”大学生英语辩论赛（华北赛区总决赛）二等奖；第二届纵横杯首都高校大学生时政知识竞赛获得三等奖；第四届北京市大学生模拟法庭竞赛获得一等奖；首届北京市大学生书法大赛获得一等奖；2012年北京市大学生创业设计竞赛等省部级学科竞赛中获得一等奖；2012年北京市大学生物理实验竞赛中荣获三等奖等。</w:t>
      </w:r>
    </w:p>
    <w:p w:rsidR="00E158AE" w:rsidRDefault="00E158AE" w:rsidP="00E158AE">
      <w:pPr>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国际竞赛中，我校学生在中国空间法模拟法庭竞赛中成功卫冕；</w:t>
      </w:r>
      <w:r>
        <w:rPr>
          <w:rFonts w:ascii="仿宋_GB2312" w:eastAsia="仿宋_GB2312" w:hAnsi="宋体" w:hint="eastAsia"/>
          <w:bCs/>
          <w:sz w:val="28"/>
          <w:szCs w:val="28"/>
        </w:rPr>
        <w:lastRenderedPageBreak/>
        <w:t>中国高校第六届国际人道法模拟法庭比赛中夺得冠军；荷兰海牙国际刑事法院审判竞赛（中文）决赛中夺得冠军；第一届中国</w:t>
      </w:r>
      <w:r>
        <w:rPr>
          <w:rFonts w:ascii="仿宋_GB2312" w:eastAsia="仿宋_GB2312" w:hAnsi="宋体" w:hint="eastAsia"/>
          <w:bCs/>
          <w:sz w:val="28"/>
          <w:szCs w:val="28"/>
        </w:rPr>
        <w:t> </w:t>
      </w:r>
      <w:r>
        <w:rPr>
          <w:rFonts w:ascii="仿宋_GB2312" w:eastAsia="仿宋_GB2312" w:hAnsi="宋体" w:hint="eastAsia"/>
          <w:bCs/>
          <w:sz w:val="28"/>
          <w:szCs w:val="28"/>
        </w:rPr>
        <w:t>WTO</w:t>
      </w:r>
      <w:r>
        <w:rPr>
          <w:rFonts w:ascii="仿宋_GB2312" w:eastAsia="仿宋_GB2312" w:hAnsi="宋体" w:hint="eastAsia"/>
          <w:bCs/>
          <w:sz w:val="28"/>
          <w:szCs w:val="28"/>
        </w:rPr>
        <w:t> </w:t>
      </w:r>
      <w:r>
        <w:rPr>
          <w:rFonts w:ascii="仿宋_GB2312" w:eastAsia="仿宋_GB2312" w:hAnsi="宋体" w:hint="eastAsia"/>
          <w:bCs/>
          <w:sz w:val="28"/>
          <w:szCs w:val="28"/>
        </w:rPr>
        <w:t>模拟法庭竞赛中获得亚军；第十届“贸仲杯”国际商事仲裁辩论赛暨WILLEM</w:t>
      </w:r>
      <w:r>
        <w:rPr>
          <w:rFonts w:ascii="仿宋_GB2312" w:eastAsia="仿宋_GB2312" w:hAnsi="宋体" w:hint="eastAsia"/>
          <w:bCs/>
          <w:sz w:val="28"/>
          <w:szCs w:val="28"/>
        </w:rPr>
        <w:t> </w:t>
      </w:r>
      <w:r>
        <w:rPr>
          <w:rFonts w:ascii="仿宋_GB2312" w:eastAsia="仿宋_GB2312" w:hAnsi="宋体" w:hint="eastAsia"/>
          <w:bCs/>
          <w:sz w:val="28"/>
          <w:szCs w:val="28"/>
        </w:rPr>
        <w:t>C.VIS</w:t>
      </w:r>
      <w:r>
        <w:rPr>
          <w:rFonts w:ascii="仿宋_GB2312" w:eastAsia="仿宋_GB2312" w:hAnsi="宋体" w:hint="eastAsia"/>
          <w:bCs/>
          <w:sz w:val="28"/>
          <w:szCs w:val="28"/>
        </w:rPr>
        <w:t> </w:t>
      </w:r>
      <w:r>
        <w:rPr>
          <w:rFonts w:ascii="仿宋_GB2312" w:eastAsia="仿宋_GB2312" w:hAnsi="宋体" w:hint="eastAsia"/>
          <w:bCs/>
          <w:sz w:val="28"/>
          <w:szCs w:val="28"/>
        </w:rPr>
        <w:t>Moot国际选拔赛获得第五名、最佳辩手奖；中国国际空间法模拟法庭竞赛获得第八名；2012年国际刑事法院审判竞赛获得集体优异一等奖、最佳被告人书状奖、最佳被害人书状奖、最佳检察官辩手奖；第三届国际航空法模拟法庭比赛获得第五名、反方最佳诉状奖。</w:t>
      </w:r>
    </w:p>
    <w:p w:rsidR="00E158AE" w:rsidRDefault="00E158AE" w:rsidP="00E158AE">
      <w:pPr>
        <w:pStyle w:val="Heading3"/>
        <w:spacing w:before="156"/>
        <w:rPr>
          <w:rFonts w:hint="eastAsia"/>
        </w:rPr>
      </w:pPr>
      <w:bookmarkStart w:id="69" w:name="_Toc339824633"/>
      <w:r>
        <w:rPr>
          <w:rFonts w:hint="eastAsia"/>
        </w:rPr>
        <w:t>二、毕业、就业情况</w:t>
      </w:r>
      <w:bookmarkEnd w:id="69"/>
      <w:r>
        <w:t xml:space="preserve"> </w:t>
      </w:r>
    </w:p>
    <w:p w:rsidR="00E158AE" w:rsidRDefault="00E158AE" w:rsidP="00E158AE">
      <w:pPr>
        <w:ind w:firstLineChars="250" w:firstLine="700"/>
        <w:rPr>
          <w:rFonts w:ascii="仿宋_GB2312" w:eastAsia="仿宋_GB2312"/>
          <w:color w:val="000000"/>
          <w:sz w:val="28"/>
          <w:szCs w:val="28"/>
        </w:rPr>
      </w:pPr>
      <w:r>
        <w:rPr>
          <w:rFonts w:ascii="仿宋_GB2312" w:eastAsia="仿宋_GB2312" w:hint="eastAsia"/>
          <w:color w:val="000000"/>
          <w:sz w:val="28"/>
          <w:szCs w:val="28"/>
        </w:rPr>
        <w:t>2012年全校应届本科毕业生2183名，其中2171名学生获得毕业证书，且经学位评定委员会审议，对2171名学生授予了学士学位。12名学生获得结业证书。。</w:t>
      </w:r>
    </w:p>
    <w:p w:rsidR="00E158AE" w:rsidRDefault="00E158AE" w:rsidP="00E158AE">
      <w:pPr>
        <w:widowControl/>
        <w:ind w:firstLineChars="250" w:firstLine="700"/>
        <w:jc w:val="left"/>
        <w:rPr>
          <w:rFonts w:ascii="仿宋_GB2312" w:eastAsia="仿宋_GB2312" w:hint="eastAsia"/>
          <w:color w:val="000000"/>
          <w:sz w:val="28"/>
          <w:szCs w:val="28"/>
        </w:rPr>
      </w:pPr>
      <w:r>
        <w:rPr>
          <w:rFonts w:ascii="仿宋_GB2312" w:eastAsia="仿宋_GB2312" w:hint="eastAsia"/>
          <w:color w:val="000000"/>
          <w:sz w:val="28"/>
          <w:szCs w:val="28"/>
        </w:rPr>
        <w:t>毕业生就业状况良好是衡量一所大学办学水平的重要指标。多年来，我校毕业生以的综合素质赢得了社会各界用人单位的欢迎与好评，用人单位普便认为我校毕业生</w:t>
      </w:r>
      <w:r>
        <w:rPr>
          <w:rFonts w:ascii="仿宋_GB2312" w:eastAsia="仿宋_GB2312"/>
          <w:color w:val="000000"/>
          <w:sz w:val="28"/>
          <w:szCs w:val="28"/>
        </w:rPr>
        <w:t>“</w:t>
      </w:r>
      <w:r>
        <w:rPr>
          <w:rFonts w:ascii="仿宋_GB2312" w:eastAsia="仿宋_GB2312" w:hint="eastAsia"/>
          <w:color w:val="000000"/>
          <w:sz w:val="28"/>
          <w:szCs w:val="28"/>
        </w:rPr>
        <w:t>整体素质高，适应能力强</w:t>
      </w:r>
      <w:r>
        <w:rPr>
          <w:rFonts w:ascii="仿宋_GB2312" w:eastAsia="仿宋_GB2312"/>
          <w:color w:val="000000"/>
          <w:sz w:val="28"/>
          <w:szCs w:val="28"/>
        </w:rPr>
        <w:t>”</w:t>
      </w:r>
      <w:r>
        <w:rPr>
          <w:rFonts w:ascii="仿宋_GB2312" w:eastAsia="仿宋_GB2312" w:hint="eastAsia"/>
          <w:color w:val="000000"/>
          <w:sz w:val="28"/>
          <w:szCs w:val="28"/>
        </w:rPr>
        <w:t>；</w:t>
      </w:r>
      <w:r>
        <w:rPr>
          <w:rFonts w:ascii="仿宋_GB2312" w:eastAsia="仿宋_GB2312"/>
          <w:color w:val="000000"/>
          <w:sz w:val="28"/>
          <w:szCs w:val="28"/>
        </w:rPr>
        <w:t>“</w:t>
      </w:r>
      <w:r>
        <w:rPr>
          <w:rFonts w:ascii="仿宋_GB2312" w:eastAsia="仿宋_GB2312" w:hint="eastAsia"/>
          <w:color w:val="000000"/>
          <w:sz w:val="28"/>
          <w:szCs w:val="28"/>
        </w:rPr>
        <w:t>理论功底扎实，实践能力突出</w:t>
      </w:r>
      <w:r>
        <w:rPr>
          <w:rFonts w:ascii="仿宋_GB2312" w:eastAsia="仿宋_GB2312"/>
          <w:color w:val="000000"/>
          <w:sz w:val="28"/>
          <w:szCs w:val="28"/>
        </w:rPr>
        <w:t>”</w:t>
      </w:r>
      <w:r>
        <w:rPr>
          <w:rFonts w:ascii="仿宋_GB2312" w:eastAsia="仿宋_GB2312" w:hint="eastAsia"/>
          <w:color w:val="000000"/>
          <w:sz w:val="28"/>
          <w:szCs w:val="28"/>
        </w:rPr>
        <w:t>，</w:t>
      </w:r>
      <w:r>
        <w:rPr>
          <w:rFonts w:ascii="仿宋_GB2312" w:eastAsia="仿宋_GB2312"/>
          <w:color w:val="000000"/>
          <w:sz w:val="28"/>
          <w:szCs w:val="28"/>
        </w:rPr>
        <w:t>“</w:t>
      </w:r>
      <w:r>
        <w:rPr>
          <w:rFonts w:ascii="仿宋_GB2312" w:eastAsia="仿宋_GB2312" w:hint="eastAsia"/>
          <w:color w:val="000000"/>
          <w:sz w:val="28"/>
          <w:szCs w:val="28"/>
        </w:rPr>
        <w:t>忠于职守，勤奋敬业</w:t>
      </w:r>
      <w:r>
        <w:rPr>
          <w:rFonts w:ascii="仿宋_GB2312" w:eastAsia="仿宋_GB2312"/>
          <w:color w:val="000000"/>
          <w:sz w:val="28"/>
          <w:szCs w:val="28"/>
        </w:rPr>
        <w:t>”</w:t>
      </w:r>
      <w:r>
        <w:rPr>
          <w:rFonts w:ascii="仿宋_GB2312" w:eastAsia="仿宋_GB2312" w:hint="eastAsia"/>
          <w:color w:val="000000"/>
          <w:sz w:val="28"/>
          <w:szCs w:val="28"/>
        </w:rPr>
        <w:t>。在近年来全国毕业生就业形势日趋严峻的情况下，我校本科毕业生初次全员就业率保持在90%以上。毕业生就业质量稳定，国家机关、企事业单位仍是毕业生就业的主要渠道，毕业生的岗位选择领域也出现拓宽的趋势。据统计，在近三年的平均升学率约30%，2012年，共有615人升学，有237人选择出国进行学位攻读，毕业生选择出国（境）继续深造的人数呈现增长势头；从毕业生就业性质看，毕业</w:t>
      </w:r>
      <w:r>
        <w:rPr>
          <w:rFonts w:ascii="仿宋_GB2312" w:eastAsia="仿宋_GB2312" w:hint="eastAsia"/>
          <w:color w:val="000000"/>
          <w:sz w:val="28"/>
          <w:szCs w:val="28"/>
        </w:rPr>
        <w:lastRenderedPageBreak/>
        <w:t>生到党政机关就业继续保持较高比例，约占总数的40%以上</w:t>
      </w:r>
      <w:r>
        <w:rPr>
          <w:rFonts w:ascii="仿宋_GB2312" w:eastAsia="仿宋_GB2312"/>
          <w:color w:val="000000"/>
          <w:sz w:val="28"/>
          <w:szCs w:val="28"/>
        </w:rPr>
        <w:t> </w:t>
      </w:r>
      <w:r>
        <w:rPr>
          <w:rFonts w:ascii="仿宋_GB2312" w:eastAsia="仿宋_GB2312" w:hint="eastAsia"/>
          <w:color w:val="000000"/>
          <w:sz w:val="28"/>
          <w:szCs w:val="28"/>
        </w:rPr>
        <w:t>；到企业的占总数的</w:t>
      </w:r>
      <w:r>
        <w:rPr>
          <w:rFonts w:ascii="仿宋_GB2312" w:eastAsia="仿宋_GB2312"/>
          <w:color w:val="000000"/>
          <w:sz w:val="28"/>
          <w:szCs w:val="28"/>
        </w:rPr>
        <w:t> </w:t>
      </w:r>
      <w:r>
        <w:rPr>
          <w:rFonts w:ascii="仿宋_GB2312" w:eastAsia="仿宋_GB2312" w:hint="eastAsia"/>
          <w:color w:val="000000"/>
          <w:sz w:val="28"/>
          <w:szCs w:val="28"/>
        </w:rPr>
        <w:t>30%</w:t>
      </w:r>
      <w:r>
        <w:rPr>
          <w:rFonts w:ascii="仿宋_GB2312" w:eastAsia="仿宋_GB2312"/>
          <w:color w:val="000000"/>
          <w:sz w:val="28"/>
          <w:szCs w:val="28"/>
        </w:rPr>
        <w:t> </w:t>
      </w:r>
      <w:r>
        <w:rPr>
          <w:rFonts w:ascii="仿宋_GB2312" w:eastAsia="仿宋_GB2312" w:hint="eastAsia"/>
          <w:color w:val="000000"/>
          <w:sz w:val="28"/>
          <w:szCs w:val="28"/>
        </w:rPr>
        <w:t>左右；毕业生到金融系统就业继续保持一定规模，约占签约总数的20%。</w:t>
      </w:r>
    </w:p>
    <w:p w:rsidR="00E158AE" w:rsidRDefault="00E158AE" w:rsidP="00E158AE">
      <w:pPr>
        <w:pStyle w:val="Heading3"/>
        <w:spacing w:before="156"/>
        <w:rPr>
          <w:rFonts w:hint="eastAsia"/>
        </w:rPr>
      </w:pPr>
      <w:bookmarkStart w:id="70" w:name="_Toc339824634"/>
      <w:r>
        <w:rPr>
          <w:rFonts w:hint="eastAsia"/>
        </w:rPr>
        <w:t>三、社会评价</w:t>
      </w:r>
      <w:bookmarkEnd w:id="70"/>
    </w:p>
    <w:p w:rsidR="00E158AE" w:rsidRDefault="00E158AE" w:rsidP="00E158AE">
      <w:pPr>
        <w:ind w:firstLineChars="200" w:firstLine="560"/>
        <w:rPr>
          <w:rFonts w:ascii="仿宋_GB2312" w:eastAsia="仿宋_GB2312"/>
          <w:color w:val="000000"/>
          <w:sz w:val="28"/>
          <w:szCs w:val="28"/>
        </w:rPr>
      </w:pPr>
      <w:r>
        <w:rPr>
          <w:rFonts w:ascii="仿宋_GB2312" w:eastAsia="仿宋_GB2312" w:hint="eastAsia"/>
          <w:color w:val="000000"/>
          <w:sz w:val="28"/>
          <w:szCs w:val="28"/>
        </w:rPr>
        <w:t xml:space="preserve">60年来，学校始终以推动国家的法治昌明、政治进步、经济发展、文化繁荣、社会和谐为己任，将自身发展融入国家法治建设的历史进程，形成了鲜明的办学特色和优势，成为国家实施依法治国方略的重要依托。从上世纪50年代关于“法律平等”的讨论，到改革开放后关于“人治与法治”的争论，再到后来对“市场经济就是法治经济”、“法治国家建设”以及“社会主义法治理念”等问题的讨论，法大人都是发起者或主要参与者，引领着国家法学理论的变革和法律思想的更新。自建校以来，学校参与了共和国几乎所有的立法活动，为中国特色社会主义法律体系的形成和完善做出了突出贡献，被誉为“全国人大最得力的助手”。学校不仅为国家培养了一大批职业法律人才，而且为国家培训了一大批政法干部，被誉为“共和国政法干部的摇篮”。学校先后有多人在中央政治局、全国人大常委会等机构的集体学习中担任法制讲座的主讲，广大师生还积极投身于普法宣传和法律援助工作，成为国家普法的重要基地。学校始终是社会主义法治精神的大力弘扬者、社会主义法治理念的忠实践行者、社会主义法治国家的积极建设者、中国特色社会主义事业的坚定捍卫者。 </w:t>
      </w:r>
    </w:p>
    <w:p w:rsidR="00E158AE" w:rsidRDefault="00E158AE" w:rsidP="00E158AE">
      <w:pPr>
        <w:pStyle w:val="Heading2"/>
        <w:spacing w:before="156"/>
        <w:rPr>
          <w:rFonts w:hint="eastAsia"/>
        </w:rPr>
      </w:pPr>
      <w:bookmarkStart w:id="71" w:name="_Toc339824635"/>
      <w:bookmarkStart w:id="72" w:name="_Toc339118965"/>
      <w:r>
        <w:rPr>
          <w:rFonts w:hint="eastAsia"/>
        </w:rPr>
        <w:t>第七部分 办学特色</w:t>
      </w:r>
      <w:bookmarkEnd w:id="71"/>
      <w:bookmarkEnd w:id="72"/>
    </w:p>
    <w:p w:rsidR="00E158AE" w:rsidRDefault="00E158AE" w:rsidP="00E158AE">
      <w:pPr>
        <w:ind w:firstLineChars="200" w:firstLine="560"/>
        <w:rPr>
          <w:rFonts w:ascii="仿宋_GB2312" w:eastAsia="仿宋_GB2312" w:hint="eastAsia"/>
          <w:color w:val="000000"/>
          <w:sz w:val="28"/>
          <w:szCs w:val="28"/>
        </w:rPr>
      </w:pPr>
      <w:bookmarkStart w:id="73" w:name="_Toc339118966"/>
      <w:r>
        <w:rPr>
          <w:rFonts w:ascii="仿宋_GB2312" w:eastAsia="仿宋_GB2312" w:hint="eastAsia"/>
          <w:color w:val="000000"/>
          <w:sz w:val="28"/>
          <w:szCs w:val="28"/>
        </w:rPr>
        <w:t>2012年，学校以提升人才培养质量为核心，认真抓实本科教学各</w:t>
      </w:r>
      <w:r>
        <w:rPr>
          <w:rFonts w:ascii="仿宋_GB2312" w:eastAsia="仿宋_GB2312" w:hint="eastAsia"/>
          <w:color w:val="000000"/>
          <w:sz w:val="28"/>
          <w:szCs w:val="28"/>
        </w:rPr>
        <w:lastRenderedPageBreak/>
        <w:t>项基础工作，进一步调整和丰富改革发展思路，积极推进本科专业特色化建设，不断深化人才培养模式改革，大力提升本科人才培养的国际化水平，在本科教学和人才培养工作方面采取了一些新举措，取得了一些新进展。</w:t>
      </w:r>
    </w:p>
    <w:p w:rsidR="00E158AE" w:rsidRDefault="00E158AE" w:rsidP="00E158AE">
      <w:pPr>
        <w:pStyle w:val="Heading3"/>
        <w:spacing w:before="156"/>
        <w:rPr>
          <w:rFonts w:hint="eastAsia"/>
        </w:rPr>
      </w:pPr>
      <w:bookmarkStart w:id="74" w:name="_Toc339824636"/>
      <w:r>
        <w:rPr>
          <w:rFonts w:hint="eastAsia"/>
        </w:rPr>
        <w:t>一、专业建设特色</w:t>
      </w:r>
      <w:bookmarkEnd w:id="74"/>
    </w:p>
    <w:p w:rsidR="00E158AE" w:rsidRDefault="00E158AE" w:rsidP="00E158AE">
      <w:pPr>
        <w:ind w:firstLineChars="200" w:firstLine="560"/>
        <w:rPr>
          <w:rFonts w:ascii="仿宋_GB2312" w:eastAsia="仿宋_GB2312"/>
          <w:color w:val="000000"/>
          <w:sz w:val="28"/>
          <w:szCs w:val="28"/>
        </w:rPr>
      </w:pPr>
      <w:r>
        <w:rPr>
          <w:rFonts w:ascii="仿宋_GB2312" w:eastAsia="仿宋_GB2312" w:hint="eastAsia"/>
          <w:color w:val="000000"/>
          <w:sz w:val="28"/>
          <w:szCs w:val="28"/>
        </w:rPr>
        <w:t>学校积极推动本科专业的时代转型和特色化建设，通过特色而异军突起，形成具有法大特色与彰显度的专业独有亮点和区分度。</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进一步突出和强化学校“特而强”的法学专业特色，坚定有力地做强法学专业。以国家实施“本科教学工程”为契机，通过承担国家级项目来获取政策、资金支持和人才培养上的先行先试机会。强化、突出法学本科专业建设上的领跑地位和优势。2012年，学校围绕提升人才培养质量的核心任务，针对法学教育面临的问题与挑战，以提高法律人才的实践能力为重点，积极采取多种举措，探索和尝试法律人才培养的类型化，努力培养适应社会主义法治国家建设需要的卓越法律职业人才。</w:t>
      </w:r>
    </w:p>
    <w:p w:rsidR="00E158AE" w:rsidRDefault="00E158AE" w:rsidP="00E158AE">
      <w:pPr>
        <w:ind w:firstLine="560"/>
        <w:rPr>
          <w:rFonts w:ascii="仿宋_GB2312" w:eastAsia="仿宋_GB2312" w:hint="eastAsia"/>
          <w:color w:val="000000"/>
          <w:sz w:val="28"/>
          <w:szCs w:val="28"/>
        </w:rPr>
      </w:pPr>
      <w:r>
        <w:rPr>
          <w:rFonts w:ascii="仿宋_GB2312" w:eastAsia="仿宋_GB2312" w:hint="eastAsia"/>
          <w:color w:val="000000"/>
          <w:sz w:val="28"/>
          <w:szCs w:val="28"/>
        </w:rPr>
        <w:t>2. 2012年底，学校组织申报并成功获批了教育部、中央政法委员会实施卓越法律人才教育培养计划中的三个基地：应用型、复合型法律职业人才教育培养基地、涉外法律人才教育培养基地与西部基层法律人才教育培养基地，各基地已经开始探索不同形式培养工作。我校各基地建设工作根据任务书的计划真抓实干，围绕培养卓越法律人才培养的目标，以体制机制改革为先导，加强领导、明确责任、细化分工，建立基地建设工作的良性运行机制，以教育教学改革为核心，</w:t>
      </w:r>
      <w:r>
        <w:rPr>
          <w:rFonts w:ascii="仿宋_GB2312" w:eastAsia="仿宋_GB2312" w:hint="eastAsia"/>
          <w:color w:val="000000"/>
          <w:sz w:val="28"/>
          <w:szCs w:val="28"/>
        </w:rPr>
        <w:lastRenderedPageBreak/>
        <w:t>优化培养方案、改革教学方法、强化实践教学，创新基地建设工作的系统化改革措施，及时总结工作经验，积极争取国家政策支持以及法律实务部门的广泛参与，不断提高法学人才培养质量，从而形成具有鲜明中国政法大学特色的卓越法律人才培养模式。</w:t>
      </w:r>
    </w:p>
    <w:p w:rsidR="00E158AE" w:rsidRDefault="00E158AE" w:rsidP="00E158AE">
      <w:pPr>
        <w:tabs>
          <w:tab w:val="left" w:pos="3960"/>
          <w:tab w:val="left" w:pos="6120"/>
        </w:tabs>
        <w:ind w:firstLineChars="200" w:firstLine="560"/>
        <w:rPr>
          <w:rFonts w:ascii="仿宋_GB2312" w:eastAsia="仿宋_GB2312" w:hAnsi="宋体" w:hint="eastAsia"/>
          <w:b/>
          <w:color w:val="000000"/>
          <w:sz w:val="28"/>
          <w:szCs w:val="28"/>
        </w:rPr>
      </w:pPr>
      <w:r>
        <w:rPr>
          <w:rFonts w:ascii="仿宋_GB2312" w:eastAsia="仿宋_GB2312" w:hint="eastAsia"/>
          <w:color w:val="000000"/>
          <w:sz w:val="28"/>
          <w:szCs w:val="28"/>
        </w:rPr>
        <w:t>3.以课程类型革新为抓手，积极推动教学方法改革，实现教学质量显著提升。学校通过加强研讨课程、案例课程与实务技能</w:t>
      </w:r>
      <w:r>
        <w:rPr>
          <w:rFonts w:ascii="仿宋_GB2312" w:eastAsia="仿宋_GB2312" w:hAnsi="华文楷体" w:hint="eastAsia"/>
          <w:color w:val="000000"/>
          <w:sz w:val="28"/>
          <w:szCs w:val="28"/>
        </w:rPr>
        <w:t>课程建设，全面实施必修课程中基础理论讲授与案例、研讨、实践教学相结合的教学组织形式，以课程类型革新以抓手促进教学方法改革，着力推广研讨式、启发式、讨论式、参与式教学方法，以教学方法改革来实现</w:t>
      </w:r>
      <w:r>
        <w:rPr>
          <w:rFonts w:ascii="仿宋_GB2312" w:eastAsia="仿宋_GB2312" w:hint="eastAsia"/>
          <w:color w:val="000000"/>
          <w:sz w:val="28"/>
          <w:szCs w:val="28"/>
        </w:rPr>
        <w:t>小班教学，最终实现以课程类型革新、教学方法改革、小班教学促进本科教学质量的全面提升</w:t>
      </w:r>
      <w:r>
        <w:rPr>
          <w:rFonts w:ascii="仿宋_GB2312" w:eastAsia="仿宋_GB2312" w:hAnsi="宋体" w:hint="eastAsia"/>
          <w:color w:val="000000"/>
          <w:sz w:val="28"/>
          <w:szCs w:val="28"/>
        </w:rPr>
        <w:t>。</w:t>
      </w:r>
      <w:r>
        <w:rPr>
          <w:rFonts w:ascii="仿宋_GB2312" w:eastAsia="仿宋_GB2312" w:hint="eastAsia"/>
          <w:color w:val="000000"/>
          <w:sz w:val="28"/>
          <w:szCs w:val="28"/>
        </w:rPr>
        <w:t>目前，学校共开设案例课58门，研讨课62门，实务技能课45门，每学年选课人数达到3700人次。</w:t>
      </w:r>
    </w:p>
    <w:p w:rsidR="00E158AE" w:rsidRDefault="00E158AE" w:rsidP="00E158AE">
      <w:pPr>
        <w:pStyle w:val="Heading3"/>
        <w:spacing w:before="156"/>
        <w:rPr>
          <w:rFonts w:hint="eastAsia"/>
        </w:rPr>
      </w:pPr>
      <w:bookmarkStart w:id="75" w:name="_Toc339824637"/>
      <w:r>
        <w:rPr>
          <w:rFonts w:hint="eastAsia"/>
        </w:rPr>
        <w:t>二、培养模式特色</w:t>
      </w:r>
      <w:bookmarkEnd w:id="75"/>
    </w:p>
    <w:p w:rsidR="00E158AE" w:rsidRDefault="00E158AE" w:rsidP="00E158AE">
      <w:pPr>
        <w:ind w:firstLineChars="200" w:firstLine="560"/>
        <w:rPr>
          <w:rFonts w:ascii="仿宋_GB2312" w:eastAsia="仿宋_GB2312"/>
          <w:b/>
          <w:color w:val="000000"/>
          <w:sz w:val="28"/>
          <w:szCs w:val="28"/>
        </w:rPr>
      </w:pPr>
      <w:r>
        <w:rPr>
          <w:rFonts w:ascii="仿宋_GB2312" w:eastAsia="仿宋_GB2312" w:hint="eastAsia"/>
          <w:color w:val="000000"/>
          <w:sz w:val="28"/>
          <w:szCs w:val="28"/>
        </w:rPr>
        <w:t>2012年，学校在遵循教育教学基本规律的基础上，在通识教育、实践教学、国际化人才培养三个方面实施了多项具体措施，人才培养模式的特色进一步凸显。</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1.进一步强化通识教育。2012年，学校在通识课程体系的建设上进一步加大资源投入，加大教学团队上的协同创新，汇集京师几十位学术大师精心锻造“中华文明通论”、“西方文明通论”等精品化的通识教学课程，充实、丰满通识教育主干课程和一般课程，着力构建以培养学生“心智、人格”为目标的有灵魂的通识教育课程体系，培养学生具有“广博的知识基础”和很强的动手能力，切实满足经济社会</w:t>
      </w:r>
      <w:r>
        <w:rPr>
          <w:rFonts w:ascii="仿宋_GB2312" w:eastAsia="仿宋_GB2312" w:hint="eastAsia"/>
          <w:color w:val="000000"/>
          <w:sz w:val="28"/>
          <w:szCs w:val="28"/>
        </w:rPr>
        <w:lastRenderedPageBreak/>
        <w:t>发展的现实需要、国家的战略需求。同时，重点思考和用心培养学生具有“坚定的公共责任感和深厚的人文情怀”，尤其是要破除法学人才培养中的三个内部矛盾：学生的规则意识过强而包容性不足，善于死记硬背而缺少发散性思维，解决问题只讲因果关系而缺乏人文情怀。</w:t>
      </w:r>
    </w:p>
    <w:p w:rsidR="00E158AE" w:rsidRDefault="00E158AE" w:rsidP="00E158AE">
      <w:pPr>
        <w:ind w:firstLine="560"/>
        <w:rPr>
          <w:rFonts w:ascii="仿宋_GB2312" w:eastAsia="仿宋_GB2312" w:hint="eastAsia"/>
          <w:color w:val="000000"/>
          <w:sz w:val="28"/>
          <w:szCs w:val="28"/>
        </w:rPr>
      </w:pPr>
      <w:r>
        <w:rPr>
          <w:rFonts w:ascii="仿宋_GB2312" w:eastAsia="仿宋_GB2312" w:hint="eastAsia"/>
          <w:color w:val="000000"/>
          <w:sz w:val="28"/>
          <w:szCs w:val="28"/>
        </w:rPr>
        <w:t>2.持续加大实践教学力度。全面厘清思路，加大建设力度，初步构建形成了具有法大特色的从“理论教学—模拟教学—仿真教学—全真教学”的递进式的课堂实践教学体系，建立优势互补的五大课程模块。即：（1）实务技能课程：由来自审判、检察一线的检察官、法官为主讲教师，以围绕自身办理过的具体案例为内容，以案例分析和研讨为主要教学形式，训练学生案例分析能力和收集、整理、分析信息和表达等方面的能力；（2）双师授课课程：由校内理论教师和校外具有丰富实务经验的法官、检察官、律师等司法实务界人士共同担任一门课程的主讲教师，注重专业知识与实践技能的有机融合；（3）模拟法庭课程：使学生熟悉庭审业务，掌握基本的诉讼技巧，受到多学科、多法律部门的综合训练；（4）角色体验课程：学生在课堂内完成以角色体验为形式的法庭技能训练，使学生在角色的准备、体验、冲突、转换中进行互动学习。（5）法律诊所课程：学生通过代理真实案件，从实践和经验中学习法律实战技能。</w:t>
      </w:r>
    </w:p>
    <w:p w:rsidR="00E158AE" w:rsidRDefault="00E158AE" w:rsidP="00E158AE">
      <w:pPr>
        <w:ind w:firstLine="560"/>
        <w:rPr>
          <w:rFonts w:ascii="仿宋_GB2312" w:eastAsia="仿宋_GB2312" w:hint="eastAsia"/>
          <w:color w:val="000000"/>
          <w:sz w:val="28"/>
          <w:szCs w:val="28"/>
        </w:rPr>
      </w:pPr>
      <w:r>
        <w:rPr>
          <w:rFonts w:ascii="仿宋_GB2312" w:eastAsia="仿宋_GB2312" w:hint="eastAsia"/>
          <w:color w:val="000000"/>
          <w:sz w:val="28"/>
          <w:szCs w:val="28"/>
        </w:rPr>
        <w:t>建立同步实践教学体系。率先创建了检察案件原始案卷副本档案阅览室、审判案件原始案卷副本档案阅览室、公益法律援助原始案卷副本档案阅览室，实现了使用真实案例进行教学。建设2间多功能墙幕式教室，和北京市东城区人民法院等全国各级法院签署协议，基本</w:t>
      </w:r>
      <w:r>
        <w:rPr>
          <w:rFonts w:ascii="仿宋_GB2312" w:eastAsia="仿宋_GB2312" w:hint="eastAsia"/>
          <w:color w:val="000000"/>
          <w:sz w:val="28"/>
          <w:szCs w:val="28"/>
        </w:rPr>
        <w:lastRenderedPageBreak/>
        <w:t>实现每天上下午各转播一个法院的庭审，供全校学生观摩学习。积极争取法律实务部门捐赠实况庭审录像，建设实况庭审录像资料库，到2012年底录像副本已达1200余盘。</w:t>
      </w:r>
    </w:p>
    <w:p w:rsidR="00E158AE" w:rsidRDefault="00E158AE" w:rsidP="00E158AE">
      <w:pPr>
        <w:ind w:firstLine="560"/>
        <w:rPr>
          <w:rFonts w:ascii="仿宋_GB2312" w:eastAsia="仿宋_GB2312" w:hint="eastAsia"/>
          <w:color w:val="000000"/>
          <w:sz w:val="28"/>
          <w:szCs w:val="28"/>
        </w:rPr>
      </w:pPr>
      <w:r>
        <w:rPr>
          <w:rFonts w:ascii="仿宋_GB2312" w:eastAsia="仿宋_GB2312" w:hint="eastAsia"/>
          <w:color w:val="000000"/>
          <w:sz w:val="28"/>
          <w:szCs w:val="28"/>
        </w:rPr>
        <w:t>通过“双千计划”，引入一线专业型领导任专职教师。2012年，学校在全国率先落实“双千计划”，批量引入能够完成司法实务课程讲授的高层次专家。聘请检察系统的5位具有长期丰富一线司法经验的专家型领导到我校任教2年（包括最高人民检察院的两位厅长、2位省检察院的副检察长、1位地级检察院的检察长），承担本科生司法实务类课程的讲授。</w:t>
      </w:r>
    </w:p>
    <w:p w:rsidR="00E158AE" w:rsidRDefault="00E158AE" w:rsidP="00E158AE">
      <w:pPr>
        <w:ind w:firstLineChars="200" w:firstLine="560"/>
        <w:rPr>
          <w:rFonts w:ascii="仿宋_GB2312" w:eastAsia="仿宋_GB2312" w:hint="eastAsia"/>
          <w:color w:val="000000"/>
          <w:sz w:val="28"/>
          <w:szCs w:val="28"/>
        </w:rPr>
      </w:pPr>
      <w:bookmarkStart w:id="76" w:name="_Toc339824638"/>
      <w:r>
        <w:rPr>
          <w:rFonts w:ascii="仿宋_GB2312" w:eastAsia="仿宋_GB2312" w:hint="eastAsia"/>
          <w:color w:val="000000"/>
          <w:sz w:val="28"/>
          <w:szCs w:val="28"/>
        </w:rPr>
        <w:t>3.加强人才培养的国际化</w:t>
      </w:r>
      <w:bookmarkEnd w:id="76"/>
      <w:r>
        <w:rPr>
          <w:rFonts w:ascii="仿宋_GB2312" w:eastAsia="仿宋_GB2312" w:hint="eastAsia"/>
          <w:color w:val="000000"/>
          <w:sz w:val="28"/>
          <w:szCs w:val="28"/>
        </w:rPr>
        <w:t>建设。本科人才培养的国际化水平，是学校国际化战略的关键环节。为积极应对全球化对于高等教育带来的机遇与挑战，我校提出建设“世界知名法科强校”目标，加快实施国际化战略，把提高国际化水平作为重要抓手和新的增长点，把高端国际合作转化为人才培养特色，充分利用国际优质教育资源，提高人才培养质量。</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Ansi="仿宋" w:hint="eastAsia"/>
          <w:color w:val="000000"/>
          <w:sz w:val="28"/>
          <w:szCs w:val="28"/>
        </w:rPr>
        <w:t>大力实施“走出去”战略。</w:t>
      </w:r>
      <w:r>
        <w:rPr>
          <w:rFonts w:ascii="仿宋_GB2312" w:eastAsia="仿宋_GB2312" w:hint="eastAsia"/>
          <w:color w:val="000000"/>
          <w:sz w:val="28"/>
          <w:szCs w:val="28"/>
        </w:rPr>
        <w:t>学校近年来实施“大外事”思路，积极对外构建人才培养的境外固定合作平台，依托近年来海归教师数量快速增大的优势，依托国家留学基金委“优秀本科生国际交流项目”等政府资助项目，着力加大和国外名校、港澳台地区高校的互派学生数量和频率，实施课程、项目、专业建设的国际合作等人才培养的多种国际化模式，稳定境外合作方，实现学生互换、学分互认。同时，着力强化海外暑期学校的建设力度，每年暑期安排200名以上的本科</w:t>
      </w:r>
      <w:r>
        <w:rPr>
          <w:rFonts w:ascii="仿宋_GB2312" w:eastAsia="仿宋_GB2312" w:hint="eastAsia"/>
          <w:color w:val="000000"/>
          <w:sz w:val="28"/>
          <w:szCs w:val="28"/>
        </w:rPr>
        <w:lastRenderedPageBreak/>
        <w:t>生赴美国、加拿大、德国等国家参加暑期学校。此外，积极探索本科生的海外实习，着力加大海外实习基地的建设力度，搭建了美国密西根州法院实践项目等海外实践基地平台。2012年，学校全面加大对于国际交流、国际竞赛活动的支持力度，着力培养学生的国际视野、国际交流和竞争能力。2012年，学校派出300多名本科生参加各种形式的国际交流活动。</w:t>
      </w:r>
    </w:p>
    <w:p w:rsidR="00E158AE" w:rsidRDefault="00E158AE" w:rsidP="00E158AE">
      <w:pPr>
        <w:pStyle w:val="Heading2"/>
        <w:spacing w:before="156"/>
        <w:rPr>
          <w:rFonts w:hint="eastAsia"/>
        </w:rPr>
      </w:pPr>
      <w:bookmarkStart w:id="77" w:name="_Toc339824639"/>
      <w:r>
        <w:rPr>
          <w:rFonts w:hint="eastAsia"/>
        </w:rPr>
        <w:t>第八部分 问题与展望</w:t>
      </w:r>
      <w:bookmarkEnd w:id="73"/>
      <w:bookmarkEnd w:id="77"/>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中国政法大学历来把培养一流人才作为学校的根本任务，并形成了鲜明的办学特色。近年来在各级政府的支持下，在校党委的坚强领导下，学校重视人才培养上的协同创新，2012年各方面均取得了令人鼓舞的成绩。但是，对照建设世界知名法科强校的目标，学校深刻认识到，未来的本科教学工作任重道远。今后，学校将以人才培养为核心，科学研究为基础，社会服务为方向，文化传承创新为引领，构建大学各项功能相互促进、相互支撑、办学质量整体提升的新格局，继续保持本科教学的优势地位。</w:t>
      </w:r>
    </w:p>
    <w:p w:rsidR="00E158AE" w:rsidRDefault="00E158AE" w:rsidP="00E158AE">
      <w:pPr>
        <w:pStyle w:val="Heading3"/>
        <w:spacing w:before="156"/>
        <w:rPr>
          <w:rFonts w:hint="eastAsia"/>
        </w:rPr>
      </w:pPr>
      <w:bookmarkStart w:id="78" w:name="_Toc339824640"/>
      <w:r>
        <w:rPr>
          <w:rFonts w:hint="eastAsia"/>
        </w:rPr>
        <w:t>一、存在的问题及解决措施</w:t>
      </w:r>
      <w:bookmarkEnd w:id="78"/>
    </w:p>
    <w:p w:rsidR="00E158AE" w:rsidRDefault="00E158AE" w:rsidP="00E158AE">
      <w:pPr>
        <w:ind w:firstLineChars="200" w:firstLine="560"/>
        <w:rPr>
          <w:rFonts w:ascii="仿宋_GB2312" w:eastAsia="仿宋_GB2312"/>
          <w:color w:val="000000"/>
          <w:sz w:val="28"/>
          <w:szCs w:val="28"/>
        </w:rPr>
      </w:pPr>
      <w:r>
        <w:rPr>
          <w:rFonts w:ascii="仿宋_GB2312" w:eastAsia="仿宋_GB2312" w:hint="eastAsia"/>
          <w:color w:val="000000"/>
          <w:sz w:val="28"/>
          <w:szCs w:val="28"/>
        </w:rPr>
        <w:t>1.卓越法律人才教育培养基地建设应进一步加强。我校获评中央政法委、教育部卓越法律人才教育培养基地三个基地情况，这是我校法学专业人才培养的一个新高度和新起点。如何建设好三个卓越基地、培养高水平高素质的法学专业人才是我校下一步面临的机遇和挑战。我校从加强实践教学环节、拓展本科生国际化培养等角度，致力于人才培养质量的提高。以培养方案为抓手，将同步实践教学理念和国际</w:t>
      </w:r>
      <w:r>
        <w:rPr>
          <w:rFonts w:ascii="仿宋_GB2312" w:eastAsia="仿宋_GB2312" w:hint="eastAsia"/>
          <w:color w:val="000000"/>
          <w:sz w:val="28"/>
          <w:szCs w:val="28"/>
        </w:rPr>
        <w:lastRenderedPageBreak/>
        <w:t>化培养理念相结合，完善师资力量并改善教学条件。</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强化法学以外专业的建设，突出专业的特色化。学校长期以法学为优势和特色，近几年来，早期定位为支撑学科的一些法学以外学科成长迅速，“支撑性”角色日益淡化，学校发展定位中的“多科性”特点日益凸显，初步形成了法学优势特色学科与关联学科之间良性互动、协同共进的良好发展势头。但是，学科交叉融合的速度、深度、广度都有待提高，因此，未来几年，学校将着力推动和支持学科专业的交叉融合式发展，着力加大“成思危现代金融菁英班”、</w:t>
      </w:r>
      <w:r>
        <w:rPr>
          <w:rFonts w:ascii="仿宋_GB2312" w:eastAsia="仿宋_GB2312" w:hAnsi="宋体" w:hint="eastAsia"/>
          <w:color w:val="000000"/>
          <w:sz w:val="28"/>
          <w:szCs w:val="28"/>
        </w:rPr>
        <w:t>“法商结合型人才培养模式”、</w:t>
      </w:r>
      <w:r>
        <w:rPr>
          <w:rFonts w:ascii="仿宋_GB2312" w:eastAsia="仿宋_GB2312" w:hint="eastAsia"/>
          <w:color w:val="000000"/>
          <w:sz w:val="28"/>
          <w:szCs w:val="28"/>
        </w:rPr>
        <w:t>“英语专业、德语专业与法学专业的复合型培养模式”等人才培养模式在专业交叉、融合方面的探索，推动专业协同和人才培养模式创新上的法大特色，推动本科专业的时代转型和特色化建设。</w:t>
      </w:r>
    </w:p>
    <w:p w:rsidR="00E158AE" w:rsidRDefault="00E158AE" w:rsidP="00E158AE">
      <w:pPr>
        <w:ind w:firstLineChars="200" w:firstLine="560"/>
        <w:rPr>
          <w:rFonts w:ascii="仿宋_GB2312" w:eastAsia="仿宋_GB2312" w:hAnsi="仿宋" w:hint="eastAsia"/>
          <w:color w:val="000000"/>
          <w:sz w:val="28"/>
          <w:szCs w:val="28"/>
        </w:rPr>
      </w:pPr>
      <w:r>
        <w:rPr>
          <w:rFonts w:ascii="仿宋_GB2312" w:eastAsia="仿宋_GB2312" w:hint="eastAsia"/>
          <w:color w:val="000000"/>
          <w:sz w:val="28"/>
          <w:szCs w:val="28"/>
        </w:rPr>
        <w:t>3.健全社会资源支持本科教学发展的长效机制。未来几年，应当着力构建人才培养上的稳定化协同创新机制，进一步获取社会资源来支持人才培养模式改革，全面提高人才培养质量。通过建立、完善与政府机构、行业协会、企事业单位等共建的多层次多类型合作平台，通过进一步加强与校董、董事单位以及其它战略合作伙伴的深层次合作，加大社会资源对本科教学的关注度。通过设立本科生国际交流与培养基金、共建校外尤其是海外人才培养基地等项目，</w:t>
      </w:r>
      <w:r>
        <w:rPr>
          <w:rFonts w:ascii="仿宋_GB2312" w:eastAsia="仿宋_GB2312" w:hAnsi="仿宋" w:cs="宋体" w:hint="eastAsia"/>
          <w:color w:val="000000"/>
          <w:kern w:val="0"/>
          <w:sz w:val="28"/>
          <w:szCs w:val="28"/>
        </w:rPr>
        <w:t>赢得社会的支持和回馈，</w:t>
      </w:r>
      <w:r>
        <w:rPr>
          <w:rFonts w:ascii="仿宋_GB2312" w:eastAsia="仿宋_GB2312" w:hAnsi="仿宋" w:hint="eastAsia"/>
          <w:color w:val="000000"/>
          <w:sz w:val="28"/>
          <w:szCs w:val="28"/>
        </w:rPr>
        <w:t>形成合力共同致力于学校本科教学的长远发展。</w:t>
      </w:r>
    </w:p>
    <w:p w:rsidR="00E158AE" w:rsidRDefault="00E158AE" w:rsidP="00E158AE">
      <w:pPr>
        <w:pStyle w:val="Heading3"/>
        <w:spacing w:before="156"/>
        <w:rPr>
          <w:rFonts w:hint="eastAsia"/>
        </w:rPr>
      </w:pPr>
      <w:bookmarkStart w:id="79" w:name="_Toc339824641"/>
      <w:r>
        <w:rPr>
          <w:rFonts w:hint="eastAsia"/>
        </w:rPr>
        <w:t>二、今后本科教学工作的基本思路</w:t>
      </w:r>
      <w:bookmarkEnd w:id="79"/>
    </w:p>
    <w:p w:rsidR="00E158AE" w:rsidRDefault="00E158AE" w:rsidP="00E158AE">
      <w:pPr>
        <w:ind w:firstLineChars="200" w:firstLine="560"/>
        <w:rPr>
          <w:rFonts w:ascii="仿宋_GB2312" w:eastAsia="仿宋_GB2312"/>
          <w:color w:val="000000"/>
          <w:sz w:val="28"/>
          <w:szCs w:val="28"/>
        </w:rPr>
      </w:pPr>
      <w:r>
        <w:rPr>
          <w:rFonts w:ascii="仿宋_GB2312" w:eastAsia="仿宋_GB2312" w:hint="eastAsia"/>
          <w:color w:val="000000"/>
          <w:sz w:val="28"/>
          <w:szCs w:val="28"/>
        </w:rPr>
        <w:t>1. 依托卓越法律人才教育培养基地，开展法学专业特色化改造。</w:t>
      </w:r>
      <w:r>
        <w:rPr>
          <w:rFonts w:ascii="仿宋_GB2312" w:eastAsia="仿宋_GB2312" w:hint="eastAsia"/>
          <w:color w:val="000000"/>
          <w:sz w:val="28"/>
          <w:szCs w:val="28"/>
        </w:rPr>
        <w:lastRenderedPageBreak/>
        <w:t>积极推进“应用型、复合型人才”和“创新型、国际性人才”齐头并进式的人才培养双目标。一是继续加大“应用型、复合型、技能型人才”的培养力度；二是大力推进“创新型、国际性人才”的教育培养，高度重视“创新性、国际性人才”的培养，充分释放法大涉外型法学人才培养的潜力和能量，在涉外型高端法律职业人才培养上展现法大的能力、水平和特色。</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2．进一步巩固本科教学的基础地位，全面提升本科人才培养质量。探索科学基础、实践能力和人文素养融合发展的人才培养模式。全面实施素质教育，拓展素质教育的内涵，从单纯重视“创新精神、实践能力”拓展为“社会责任感、创新精神、实践能力”的并重。加大各类专业实践教学的学分学时，实施“同步实践教学”模式，建立实践教学的法大特色和模式，引领全国法学教育中实践教学改革的潮流。突出和重视人才培养的个性化，引导学生转变学习方式，构建更加适合学生发展的自主学习、多元学习模式，推动学生释放个性、自主学习。</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3．创新本科人才培养的流程和方法。以专业课程体系建设为抓手，推动专业课程的教学方法改革。全面进行大学英语教学改革，实施以学术英语、学科英语和通用英语为内容的课程体系改革、学习模式改革。进一步改革考试制度，强化学习过程控制和管理，加强教学过程的形成性评价。实施本科生学业规划指导计划，提高学生学业修读的质量与效率。着力提升教学设备设施的信息化水平，以信息技术升级促进教学方法改革、教学质量提升。强化教研室、教学团队、课</w:t>
      </w:r>
      <w:r>
        <w:rPr>
          <w:rFonts w:ascii="仿宋_GB2312" w:eastAsia="仿宋_GB2312" w:hint="eastAsia"/>
          <w:color w:val="000000"/>
          <w:sz w:val="28"/>
          <w:szCs w:val="28"/>
        </w:rPr>
        <w:lastRenderedPageBreak/>
        <w:t>程组等基层教学组织建设。</w:t>
      </w:r>
    </w:p>
    <w:p w:rsidR="00E158AE" w:rsidRDefault="00E158AE" w:rsidP="00E158AE">
      <w:pPr>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4．健全教育质量评估制度。强化、完善教学督导、校院处领导教学检查、同行听课评估、学生评教等多种形式的日常教学质量监控体系。探索建立覆盖招生、培养与就业质量跟踪的定量化教学质量评测体系，健全教学运行质量信息的收集与反馈机制，进一步加强对于人才培养质量形成过程的监控。建立“本科教学运行质量报告”学期化发布制度，全面反映教学运行质量状况。优化教学基本状态数据库，为学校教育教学改革、师资队伍建设、教学条件改善等方面提供决策依据。</w:t>
      </w:r>
    </w:p>
    <w:p w:rsidR="00E158AE" w:rsidRDefault="00E158AE" w:rsidP="00E158AE">
      <w:pPr>
        <w:rPr>
          <w:rFonts w:hint="eastAsia"/>
        </w:rPr>
      </w:pPr>
    </w:p>
    <w:p w:rsidR="00D107BC" w:rsidRPr="00E158AE" w:rsidRDefault="00D107BC">
      <w:bookmarkStart w:id="80" w:name="_GoBack"/>
      <w:bookmarkEnd w:id="80"/>
    </w:p>
    <w:sectPr w:rsidR="00D107BC" w:rsidRPr="00E15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charset w:val="86"/>
    <w:family w:val="modern"/>
    <w:pitch w:val="fixed"/>
    <w:sig w:usb0="00000001" w:usb1="080E0000" w:usb2="00000010" w:usb3="00000000" w:csb0="00040000" w:csb1="00000000"/>
  </w:font>
  <w:font w:name="华文楷体">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C2"/>
    <w:rsid w:val="00A575C2"/>
    <w:rsid w:val="00D107BC"/>
    <w:rsid w:val="00E1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03551D4-7441-4861-BEF1-0D4D2CB4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AE"/>
    <w:pPr>
      <w:widowControl w:val="0"/>
      <w:jc w:val="both"/>
    </w:pPr>
    <w:rPr>
      <w:rFonts w:ascii="Times New Roman" w:eastAsia="宋体" w:hAnsi="Times New Roman" w:cs="Times New Roman"/>
      <w:szCs w:val="24"/>
    </w:rPr>
  </w:style>
  <w:style w:type="paragraph" w:styleId="Heading2">
    <w:name w:val="heading 2"/>
    <w:basedOn w:val="Normal"/>
    <w:next w:val="Normal"/>
    <w:link w:val="Heading2Char"/>
    <w:autoRedefine/>
    <w:semiHidden/>
    <w:unhideWhenUsed/>
    <w:qFormat/>
    <w:rsid w:val="00E158AE"/>
    <w:pPr>
      <w:spacing w:beforeLines="50"/>
      <w:jc w:val="center"/>
      <w:outlineLvl w:val="1"/>
    </w:pPr>
    <w:rPr>
      <w:rFonts w:ascii="仿宋_GB2312" w:eastAsia="仿宋_GB2312" w:hAnsi="Arial"/>
      <w:b/>
      <w:bCs/>
      <w:sz w:val="36"/>
      <w:szCs w:val="36"/>
    </w:rPr>
  </w:style>
  <w:style w:type="paragraph" w:styleId="Heading3">
    <w:name w:val="heading 3"/>
    <w:basedOn w:val="Normal"/>
    <w:next w:val="Normal"/>
    <w:link w:val="Heading3Char"/>
    <w:autoRedefine/>
    <w:semiHidden/>
    <w:unhideWhenUsed/>
    <w:qFormat/>
    <w:rsid w:val="00E158AE"/>
    <w:pPr>
      <w:keepNext/>
      <w:keepLines/>
      <w:spacing w:beforeLines="50"/>
      <w:outlineLvl w:val="2"/>
    </w:pPr>
    <w:rPr>
      <w:rFonts w:eastAsia="仿宋_GB2312"/>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158AE"/>
    <w:rPr>
      <w:rFonts w:ascii="仿宋_GB2312" w:eastAsia="仿宋_GB2312" w:hAnsi="Arial" w:cs="Times New Roman"/>
      <w:b/>
      <w:bCs/>
      <w:sz w:val="36"/>
      <w:szCs w:val="36"/>
    </w:rPr>
  </w:style>
  <w:style w:type="character" w:customStyle="1" w:styleId="Heading3Char">
    <w:name w:val="Heading 3 Char"/>
    <w:basedOn w:val="DefaultParagraphFont"/>
    <w:link w:val="Heading3"/>
    <w:semiHidden/>
    <w:rsid w:val="00E158AE"/>
    <w:rPr>
      <w:rFonts w:ascii="Times New Roman" w:eastAsia="仿宋_GB2312" w:hAnsi="Times New Roman" w:cs="Times New Roman"/>
      <w:b/>
      <w:bCs/>
      <w:sz w:val="28"/>
      <w:szCs w:val="32"/>
    </w:rPr>
  </w:style>
  <w:style w:type="character" w:styleId="Hyperlink">
    <w:name w:val="Hyperlink"/>
    <w:basedOn w:val="DefaultParagraphFont"/>
    <w:uiPriority w:val="99"/>
    <w:semiHidden/>
    <w:unhideWhenUsed/>
    <w:rsid w:val="00E158AE"/>
    <w:rPr>
      <w:color w:val="0000FF"/>
      <w:u w:val="single"/>
    </w:rPr>
  </w:style>
  <w:style w:type="character" w:styleId="FollowedHyperlink">
    <w:name w:val="FollowedHyperlink"/>
    <w:basedOn w:val="DefaultParagraphFont"/>
    <w:uiPriority w:val="99"/>
    <w:semiHidden/>
    <w:unhideWhenUsed/>
    <w:rsid w:val="00E158AE"/>
    <w:rPr>
      <w:color w:val="954F72" w:themeColor="followedHyperlink"/>
      <w:u w:val="single"/>
    </w:rPr>
  </w:style>
  <w:style w:type="paragraph" w:styleId="NormalWeb">
    <w:name w:val="Normal (Web)"/>
    <w:basedOn w:val="Normal"/>
    <w:semiHidden/>
    <w:unhideWhenUsed/>
    <w:rsid w:val="00E158AE"/>
    <w:pPr>
      <w:widowControl/>
      <w:spacing w:before="100" w:beforeAutospacing="1" w:after="100" w:afterAutospacing="1"/>
      <w:jc w:val="left"/>
    </w:pPr>
    <w:rPr>
      <w:rFonts w:ascii="宋体" w:hAnsi="宋体" w:cs="宋体"/>
      <w:kern w:val="0"/>
      <w:sz w:val="24"/>
    </w:rPr>
  </w:style>
  <w:style w:type="paragraph" w:styleId="TOC1">
    <w:name w:val="toc 1"/>
    <w:basedOn w:val="Normal"/>
    <w:next w:val="Normal"/>
    <w:autoRedefine/>
    <w:semiHidden/>
    <w:unhideWhenUsed/>
    <w:rsid w:val="00E158AE"/>
  </w:style>
  <w:style w:type="paragraph" w:styleId="TOC2">
    <w:name w:val="toc 2"/>
    <w:basedOn w:val="Normal"/>
    <w:next w:val="Normal"/>
    <w:autoRedefine/>
    <w:uiPriority w:val="39"/>
    <w:semiHidden/>
    <w:unhideWhenUsed/>
    <w:rsid w:val="00E158AE"/>
    <w:pPr>
      <w:ind w:leftChars="200" w:left="420"/>
    </w:pPr>
  </w:style>
  <w:style w:type="paragraph" w:styleId="TOC3">
    <w:name w:val="toc 3"/>
    <w:basedOn w:val="Normal"/>
    <w:next w:val="Normal"/>
    <w:autoRedefine/>
    <w:uiPriority w:val="39"/>
    <w:semiHidden/>
    <w:unhideWhenUsed/>
    <w:rsid w:val="00E158AE"/>
    <w:pPr>
      <w:tabs>
        <w:tab w:val="left" w:pos="1405"/>
        <w:tab w:val="right" w:leader="dot" w:pos="8296"/>
      </w:tabs>
      <w:ind w:leftChars="400" w:left="840"/>
    </w:pPr>
  </w:style>
  <w:style w:type="paragraph" w:styleId="FootnoteText">
    <w:name w:val="footnote text"/>
    <w:basedOn w:val="Normal"/>
    <w:link w:val="FootnoteTextChar"/>
    <w:semiHidden/>
    <w:unhideWhenUsed/>
    <w:rsid w:val="00E158AE"/>
    <w:pPr>
      <w:snapToGrid w:val="0"/>
      <w:jc w:val="left"/>
    </w:pPr>
    <w:rPr>
      <w:rFonts w:ascii="Calibri" w:hAnsi="Calibri"/>
      <w:sz w:val="18"/>
      <w:szCs w:val="18"/>
    </w:rPr>
  </w:style>
  <w:style w:type="character" w:customStyle="1" w:styleId="FootnoteTextChar">
    <w:name w:val="Footnote Text Char"/>
    <w:basedOn w:val="DefaultParagraphFont"/>
    <w:link w:val="FootnoteText"/>
    <w:semiHidden/>
    <w:rsid w:val="00E158AE"/>
    <w:rPr>
      <w:rFonts w:ascii="Calibri" w:eastAsia="宋体" w:hAnsi="Calibri" w:cs="Times New Roman"/>
      <w:sz w:val="18"/>
      <w:szCs w:val="18"/>
    </w:rPr>
  </w:style>
  <w:style w:type="paragraph" w:styleId="Header">
    <w:name w:val="header"/>
    <w:basedOn w:val="Normal"/>
    <w:link w:val="HeaderChar"/>
    <w:semiHidden/>
    <w:unhideWhenUsed/>
    <w:rsid w:val="00E158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E158AE"/>
    <w:rPr>
      <w:rFonts w:ascii="Times New Roman" w:eastAsia="宋体" w:hAnsi="Times New Roman" w:cs="Times New Roman"/>
      <w:sz w:val="18"/>
      <w:szCs w:val="18"/>
    </w:rPr>
  </w:style>
  <w:style w:type="paragraph" w:styleId="Footer">
    <w:name w:val="footer"/>
    <w:basedOn w:val="Normal"/>
    <w:link w:val="FooterChar"/>
    <w:semiHidden/>
    <w:unhideWhenUsed/>
    <w:rsid w:val="00E158AE"/>
    <w:pPr>
      <w:tabs>
        <w:tab w:val="center" w:pos="4153"/>
        <w:tab w:val="right" w:pos="8306"/>
      </w:tabs>
      <w:snapToGrid w:val="0"/>
      <w:jc w:val="left"/>
    </w:pPr>
    <w:rPr>
      <w:sz w:val="18"/>
      <w:szCs w:val="18"/>
    </w:rPr>
  </w:style>
  <w:style w:type="character" w:customStyle="1" w:styleId="FooterChar">
    <w:name w:val="Footer Char"/>
    <w:basedOn w:val="DefaultParagraphFont"/>
    <w:link w:val="Footer"/>
    <w:semiHidden/>
    <w:rsid w:val="00E158AE"/>
    <w:rPr>
      <w:rFonts w:ascii="Times New Roman" w:eastAsia="宋体" w:hAnsi="Times New Roman" w:cs="Times New Roman"/>
      <w:sz w:val="18"/>
      <w:szCs w:val="18"/>
    </w:rPr>
  </w:style>
  <w:style w:type="paragraph" w:styleId="BodyText">
    <w:name w:val="Body Text"/>
    <w:basedOn w:val="Normal"/>
    <w:link w:val="BodyTextChar"/>
    <w:semiHidden/>
    <w:unhideWhenUsed/>
    <w:rsid w:val="00E158AE"/>
    <w:pPr>
      <w:spacing w:after="120"/>
    </w:pPr>
  </w:style>
  <w:style w:type="character" w:customStyle="1" w:styleId="BodyTextChar">
    <w:name w:val="Body Text Char"/>
    <w:basedOn w:val="DefaultParagraphFont"/>
    <w:link w:val="BodyText"/>
    <w:semiHidden/>
    <w:rsid w:val="00E158AE"/>
    <w:rPr>
      <w:rFonts w:ascii="Times New Roman" w:eastAsia="宋体" w:hAnsi="Times New Roman" w:cs="Times New Roman"/>
      <w:szCs w:val="24"/>
    </w:rPr>
  </w:style>
  <w:style w:type="paragraph" w:styleId="DocumentMap">
    <w:name w:val="Document Map"/>
    <w:basedOn w:val="Normal"/>
    <w:link w:val="DocumentMapChar"/>
    <w:semiHidden/>
    <w:unhideWhenUsed/>
    <w:rsid w:val="00E158AE"/>
    <w:pPr>
      <w:shd w:val="clear" w:color="auto" w:fill="000080"/>
    </w:pPr>
  </w:style>
  <w:style w:type="character" w:customStyle="1" w:styleId="DocumentMapChar">
    <w:name w:val="Document Map Char"/>
    <w:basedOn w:val="DefaultParagraphFont"/>
    <w:link w:val="DocumentMap"/>
    <w:semiHidden/>
    <w:rsid w:val="00E158AE"/>
    <w:rPr>
      <w:rFonts w:ascii="Times New Roman" w:eastAsia="宋体" w:hAnsi="Times New Roman" w:cs="Times New Roman"/>
      <w:szCs w:val="24"/>
      <w:shd w:val="clear" w:color="auto" w:fill="000080"/>
    </w:rPr>
  </w:style>
  <w:style w:type="paragraph" w:styleId="BalloonText">
    <w:name w:val="Balloon Text"/>
    <w:basedOn w:val="Normal"/>
    <w:link w:val="BalloonTextChar"/>
    <w:semiHidden/>
    <w:unhideWhenUsed/>
    <w:rsid w:val="00E158AE"/>
    <w:rPr>
      <w:sz w:val="18"/>
      <w:szCs w:val="18"/>
    </w:rPr>
  </w:style>
  <w:style w:type="character" w:customStyle="1" w:styleId="BalloonTextChar">
    <w:name w:val="Balloon Text Char"/>
    <w:basedOn w:val="DefaultParagraphFont"/>
    <w:link w:val="BalloonText"/>
    <w:semiHidden/>
    <w:rsid w:val="00E158AE"/>
    <w:rPr>
      <w:rFonts w:ascii="Times New Roman" w:eastAsia="宋体" w:hAnsi="Times New Roman" w:cs="Times New Roman"/>
      <w:sz w:val="18"/>
      <w:szCs w:val="18"/>
    </w:rPr>
  </w:style>
  <w:style w:type="paragraph" w:customStyle="1" w:styleId="Default">
    <w:name w:val="Default"/>
    <w:rsid w:val="00E158AE"/>
    <w:pPr>
      <w:widowControl w:val="0"/>
      <w:autoSpaceDE w:val="0"/>
      <w:autoSpaceDN w:val="0"/>
      <w:adjustRightInd w:val="0"/>
    </w:pPr>
    <w:rPr>
      <w:rFonts w:ascii="新宋体" w:eastAsia="新宋体" w:hAnsi="Times New Roman" w:cs="新宋体"/>
      <w:color w:val="000000"/>
      <w:kern w:val="0"/>
      <w:sz w:val="24"/>
      <w:szCs w:val="24"/>
    </w:rPr>
  </w:style>
  <w:style w:type="paragraph" w:customStyle="1" w:styleId="a">
    <w:name w:val="表题"/>
    <w:basedOn w:val="BodyText"/>
    <w:autoRedefine/>
    <w:rsid w:val="00E158AE"/>
    <w:pPr>
      <w:autoSpaceDE w:val="0"/>
      <w:autoSpaceDN w:val="0"/>
      <w:adjustRightInd w:val="0"/>
      <w:spacing w:beforeLines="50" w:afterLines="50" w:after="0" w:line="440" w:lineRule="exact"/>
      <w:jc w:val="center"/>
    </w:pPr>
    <w:rPr>
      <w:rFonts w:ascii="仿宋_GB2312" w:eastAsia="仿宋_GB2312" w:hAnsi="宋体"/>
      <w:b/>
      <w:kern w:val="0"/>
      <w:szCs w:val="21"/>
    </w:rPr>
  </w:style>
  <w:style w:type="character" w:customStyle="1" w:styleId="Char">
    <w:name w:val="内容 Char"/>
    <w:basedOn w:val="DefaultParagraphFont"/>
    <w:link w:val="a0"/>
    <w:locked/>
    <w:rsid w:val="00E158AE"/>
    <w:rPr>
      <w:rFonts w:ascii="楷体_GB2312" w:eastAsia="楷体_GB2312" w:hAnsi="宋体" w:cs="宋体"/>
      <w:sz w:val="24"/>
      <w:szCs w:val="20"/>
    </w:rPr>
  </w:style>
  <w:style w:type="paragraph" w:customStyle="1" w:styleId="a0">
    <w:name w:val="内容"/>
    <w:basedOn w:val="Normal"/>
    <w:link w:val="Char"/>
    <w:rsid w:val="00E158AE"/>
    <w:pPr>
      <w:spacing w:line="440" w:lineRule="exact"/>
      <w:ind w:firstLineChars="200" w:firstLine="200"/>
    </w:pPr>
    <w:rPr>
      <w:rFonts w:ascii="楷体_GB2312" w:eastAsia="楷体_GB2312" w:hAnsi="宋体" w:cs="宋体"/>
      <w:sz w:val="24"/>
      <w:szCs w:val="20"/>
    </w:rPr>
  </w:style>
  <w:style w:type="paragraph" w:customStyle="1" w:styleId="1">
    <w:name w:val="样式 盖帽 + 右侧:  1 字符"/>
    <w:basedOn w:val="Normal"/>
    <w:autoRedefine/>
    <w:rsid w:val="00E158AE"/>
    <w:pPr>
      <w:ind w:rightChars="100" w:right="210" w:firstLineChars="200" w:firstLine="422"/>
    </w:pPr>
    <w:rPr>
      <w:rFonts w:ascii="仿宋_GB2312" w:eastAsia="仿宋_GB2312" w:hAnsi="仿宋" w:cs="宋体"/>
      <w:b/>
      <w:kern w:val="0"/>
      <w:szCs w:val="21"/>
    </w:rPr>
  </w:style>
  <w:style w:type="character" w:styleId="FootnoteReference">
    <w:name w:val="footnote reference"/>
    <w:basedOn w:val="DefaultParagraphFont"/>
    <w:semiHidden/>
    <w:unhideWhenUsed/>
    <w:rsid w:val="00E158AE"/>
    <w:rPr>
      <w:vertAlign w:val="superscript"/>
    </w:rPr>
  </w:style>
  <w:style w:type="table" w:styleId="TableGrid">
    <w:name w:val="Table Grid"/>
    <w:basedOn w:val="TableNormal"/>
    <w:rsid w:val="00E158A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0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ilishen\Desktop\&#20013;&#22269;&#25919;&#27861;&#22823;&#23398;2012&#24180;&#26412;&#31185;&#25945;&#23398;&#36136;&#37327;&#25253;&#21578;.docx" TargetMode="External"/><Relationship Id="rId18" Type="http://schemas.openxmlformats.org/officeDocument/2006/relationships/hyperlink" Target="file:///C:\Users\pilishen\Desktop\&#20013;&#22269;&#25919;&#27861;&#22823;&#23398;2012&#24180;&#26412;&#31185;&#25945;&#23398;&#36136;&#37327;&#25253;&#21578;.docx" TargetMode="External"/><Relationship Id="rId26" Type="http://schemas.openxmlformats.org/officeDocument/2006/relationships/hyperlink" Target="file:///C:\Users\pilishen\Desktop\&#20013;&#22269;&#25919;&#27861;&#22823;&#23398;2012&#24180;&#26412;&#31185;&#25945;&#23398;&#36136;&#37327;&#25253;&#21578;.docx" TargetMode="External"/><Relationship Id="rId39" Type="http://schemas.openxmlformats.org/officeDocument/2006/relationships/fontTable" Target="fontTable.xml"/><Relationship Id="rId21" Type="http://schemas.openxmlformats.org/officeDocument/2006/relationships/hyperlink" Target="file:///C:\Users\pilishen\Desktop\&#20013;&#22269;&#25919;&#27861;&#22823;&#23398;2012&#24180;&#26412;&#31185;&#25945;&#23398;&#36136;&#37327;&#25253;&#21578;.docx" TargetMode="External"/><Relationship Id="rId34" Type="http://schemas.openxmlformats.org/officeDocument/2006/relationships/hyperlink" Target="file:///C:\Users\pilishen\Desktop\&#20013;&#22269;&#25919;&#27861;&#22823;&#23398;2012&#24180;&#26412;&#31185;&#25945;&#23398;&#36136;&#37327;&#25253;&#21578;.docx" TargetMode="External"/><Relationship Id="rId7" Type="http://schemas.openxmlformats.org/officeDocument/2006/relationships/hyperlink" Target="file:///C:\Users\pilishen\Desktop\&#20013;&#22269;&#25919;&#27861;&#22823;&#23398;2012&#24180;&#26412;&#31185;&#25945;&#23398;&#36136;&#37327;&#25253;&#21578;.docx" TargetMode="External"/><Relationship Id="rId12" Type="http://schemas.openxmlformats.org/officeDocument/2006/relationships/hyperlink" Target="file:///C:\Users\pilishen\Desktop\&#20013;&#22269;&#25919;&#27861;&#22823;&#23398;2012&#24180;&#26412;&#31185;&#25945;&#23398;&#36136;&#37327;&#25253;&#21578;.docx" TargetMode="External"/><Relationship Id="rId17" Type="http://schemas.openxmlformats.org/officeDocument/2006/relationships/hyperlink" Target="file:///C:\Users\pilishen\Desktop\&#20013;&#22269;&#25919;&#27861;&#22823;&#23398;2012&#24180;&#26412;&#31185;&#25945;&#23398;&#36136;&#37327;&#25253;&#21578;.docx" TargetMode="External"/><Relationship Id="rId25" Type="http://schemas.openxmlformats.org/officeDocument/2006/relationships/hyperlink" Target="file:///C:\Users\pilishen\Desktop\&#20013;&#22269;&#25919;&#27861;&#22823;&#23398;2012&#24180;&#26412;&#31185;&#25945;&#23398;&#36136;&#37327;&#25253;&#21578;.docx" TargetMode="External"/><Relationship Id="rId33" Type="http://schemas.openxmlformats.org/officeDocument/2006/relationships/hyperlink" Target="file:///C:\Users\pilishen\Desktop\&#20013;&#22269;&#25919;&#27861;&#22823;&#23398;2012&#24180;&#26412;&#31185;&#25945;&#23398;&#36136;&#37327;&#25253;&#21578;.docx" TargetMode="External"/><Relationship Id="rId38" Type="http://schemas.openxmlformats.org/officeDocument/2006/relationships/hyperlink" Target="file:///C:\Users\pilishen\Desktop\&#20013;&#22269;&#25919;&#27861;&#22823;&#23398;2012&#24180;&#26412;&#31185;&#25945;&#23398;&#36136;&#37327;&#25253;&#21578;.docx" TargetMode="External"/><Relationship Id="rId2" Type="http://schemas.openxmlformats.org/officeDocument/2006/relationships/settings" Target="settings.xml"/><Relationship Id="rId16" Type="http://schemas.openxmlformats.org/officeDocument/2006/relationships/hyperlink" Target="file:///C:\Users\pilishen\Desktop\&#20013;&#22269;&#25919;&#27861;&#22823;&#23398;2012&#24180;&#26412;&#31185;&#25945;&#23398;&#36136;&#37327;&#25253;&#21578;.docx" TargetMode="External"/><Relationship Id="rId20" Type="http://schemas.openxmlformats.org/officeDocument/2006/relationships/hyperlink" Target="file:///C:\Users\pilishen\Desktop\&#20013;&#22269;&#25919;&#27861;&#22823;&#23398;2012&#24180;&#26412;&#31185;&#25945;&#23398;&#36136;&#37327;&#25253;&#21578;.docx" TargetMode="External"/><Relationship Id="rId29" Type="http://schemas.openxmlformats.org/officeDocument/2006/relationships/hyperlink" Target="file:///C:\Users\pilishen\Desktop\&#20013;&#22269;&#25919;&#27861;&#22823;&#23398;2012&#24180;&#26412;&#31185;&#25945;&#23398;&#36136;&#37327;&#25253;&#21578;.docx" TargetMode="External"/><Relationship Id="rId1" Type="http://schemas.openxmlformats.org/officeDocument/2006/relationships/styles" Target="styles.xml"/><Relationship Id="rId6" Type="http://schemas.openxmlformats.org/officeDocument/2006/relationships/hyperlink" Target="file:///C:\Users\pilishen\Desktop\&#20013;&#22269;&#25919;&#27861;&#22823;&#23398;2012&#24180;&#26412;&#31185;&#25945;&#23398;&#36136;&#37327;&#25253;&#21578;.docx" TargetMode="External"/><Relationship Id="rId11" Type="http://schemas.openxmlformats.org/officeDocument/2006/relationships/hyperlink" Target="file:///C:\Users\pilishen\Desktop\&#20013;&#22269;&#25919;&#27861;&#22823;&#23398;2012&#24180;&#26412;&#31185;&#25945;&#23398;&#36136;&#37327;&#25253;&#21578;.docx" TargetMode="External"/><Relationship Id="rId24" Type="http://schemas.openxmlformats.org/officeDocument/2006/relationships/hyperlink" Target="file:///C:\Users\pilishen\Desktop\&#20013;&#22269;&#25919;&#27861;&#22823;&#23398;2012&#24180;&#26412;&#31185;&#25945;&#23398;&#36136;&#37327;&#25253;&#21578;.docx" TargetMode="External"/><Relationship Id="rId32" Type="http://schemas.openxmlformats.org/officeDocument/2006/relationships/hyperlink" Target="file:///C:\Users\pilishen\Desktop\&#20013;&#22269;&#25919;&#27861;&#22823;&#23398;2012&#24180;&#26412;&#31185;&#25945;&#23398;&#36136;&#37327;&#25253;&#21578;.docx" TargetMode="External"/><Relationship Id="rId37" Type="http://schemas.openxmlformats.org/officeDocument/2006/relationships/hyperlink" Target="file:///C:\Users\pilishen\Desktop\&#20013;&#22269;&#25919;&#27861;&#22823;&#23398;2012&#24180;&#26412;&#31185;&#25945;&#23398;&#36136;&#37327;&#25253;&#21578;.docx" TargetMode="External"/><Relationship Id="rId40"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file:///C:\Users\pilishen\Desktop\&#20013;&#22269;&#25919;&#27861;&#22823;&#23398;2012&#24180;&#26412;&#31185;&#25945;&#23398;&#36136;&#37327;&#25253;&#21578;.docx" TargetMode="External"/><Relationship Id="rId23" Type="http://schemas.openxmlformats.org/officeDocument/2006/relationships/hyperlink" Target="file:///C:\Users\pilishen\Desktop\&#20013;&#22269;&#25919;&#27861;&#22823;&#23398;2012&#24180;&#26412;&#31185;&#25945;&#23398;&#36136;&#37327;&#25253;&#21578;.docx" TargetMode="External"/><Relationship Id="rId28" Type="http://schemas.openxmlformats.org/officeDocument/2006/relationships/hyperlink" Target="file:///C:\Users\pilishen\Desktop\&#20013;&#22269;&#25919;&#27861;&#22823;&#23398;2012&#24180;&#26412;&#31185;&#25945;&#23398;&#36136;&#37327;&#25253;&#21578;.docx" TargetMode="External"/><Relationship Id="rId36" Type="http://schemas.openxmlformats.org/officeDocument/2006/relationships/hyperlink" Target="file:///C:\Users\pilishen\Desktop\&#20013;&#22269;&#25919;&#27861;&#22823;&#23398;2012&#24180;&#26412;&#31185;&#25945;&#23398;&#36136;&#37327;&#25253;&#21578;.docx" TargetMode="External"/><Relationship Id="rId10" Type="http://schemas.openxmlformats.org/officeDocument/2006/relationships/hyperlink" Target="file:///C:\Users\pilishen\Desktop\&#20013;&#22269;&#25919;&#27861;&#22823;&#23398;2012&#24180;&#26412;&#31185;&#25945;&#23398;&#36136;&#37327;&#25253;&#21578;.docx" TargetMode="External"/><Relationship Id="rId19" Type="http://schemas.openxmlformats.org/officeDocument/2006/relationships/hyperlink" Target="file:///C:\Users\pilishen\Desktop\&#20013;&#22269;&#25919;&#27861;&#22823;&#23398;2012&#24180;&#26412;&#31185;&#25945;&#23398;&#36136;&#37327;&#25253;&#21578;.docx" TargetMode="External"/><Relationship Id="rId31" Type="http://schemas.openxmlformats.org/officeDocument/2006/relationships/hyperlink" Target="file:///C:\Users\pilishen\Desktop\&#20013;&#22269;&#25919;&#27861;&#22823;&#23398;2012&#24180;&#26412;&#31185;&#25945;&#23398;&#36136;&#37327;&#25253;&#21578;.docx" TargetMode="External"/><Relationship Id="rId4" Type="http://schemas.openxmlformats.org/officeDocument/2006/relationships/image" Target="media/image1.jpeg"/><Relationship Id="rId9" Type="http://schemas.openxmlformats.org/officeDocument/2006/relationships/hyperlink" Target="file:///C:\Users\pilishen\Desktop\&#20013;&#22269;&#25919;&#27861;&#22823;&#23398;2012&#24180;&#26412;&#31185;&#25945;&#23398;&#36136;&#37327;&#25253;&#21578;.docx" TargetMode="External"/><Relationship Id="rId14" Type="http://schemas.openxmlformats.org/officeDocument/2006/relationships/hyperlink" Target="file:///C:\Users\pilishen\Desktop\&#20013;&#22269;&#25919;&#27861;&#22823;&#23398;2012&#24180;&#26412;&#31185;&#25945;&#23398;&#36136;&#37327;&#25253;&#21578;.docx" TargetMode="External"/><Relationship Id="rId22" Type="http://schemas.openxmlformats.org/officeDocument/2006/relationships/hyperlink" Target="file:///C:\Users\pilishen\Desktop\&#20013;&#22269;&#25919;&#27861;&#22823;&#23398;2012&#24180;&#26412;&#31185;&#25945;&#23398;&#36136;&#37327;&#25253;&#21578;.docx" TargetMode="External"/><Relationship Id="rId27" Type="http://schemas.openxmlformats.org/officeDocument/2006/relationships/hyperlink" Target="file:///C:\Users\pilishen\Desktop\&#20013;&#22269;&#25919;&#27861;&#22823;&#23398;2012&#24180;&#26412;&#31185;&#25945;&#23398;&#36136;&#37327;&#25253;&#21578;.docx" TargetMode="External"/><Relationship Id="rId30" Type="http://schemas.openxmlformats.org/officeDocument/2006/relationships/hyperlink" Target="file:///C:\Users\pilishen\Desktop\&#20013;&#22269;&#25919;&#27861;&#22823;&#23398;2012&#24180;&#26412;&#31185;&#25945;&#23398;&#36136;&#37327;&#25253;&#21578;.docx" TargetMode="External"/><Relationship Id="rId35" Type="http://schemas.openxmlformats.org/officeDocument/2006/relationships/hyperlink" Target="file:///C:\Users\pilishen\Desktop\&#20013;&#22269;&#25919;&#27861;&#22823;&#23398;2012&#24180;&#26412;&#31185;&#25945;&#23398;&#36136;&#37327;&#25253;&#21578;.docx" TargetMode="External"/><Relationship Id="rId8" Type="http://schemas.openxmlformats.org/officeDocument/2006/relationships/hyperlink" Target="file:///C:\Users\pilishen\Desktop\&#20013;&#22269;&#25919;&#27861;&#22823;&#23398;2012&#24180;&#26412;&#31185;&#25945;&#23398;&#36136;&#37327;&#25253;&#21578;.docx"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3890</Words>
  <Characters>22174</Characters>
  <Application>Microsoft Office Word</Application>
  <DocSecurity>0</DocSecurity>
  <Lines>184</Lines>
  <Paragraphs>52</Paragraphs>
  <ScaleCrop>false</ScaleCrop>
  <Company>plstudio</Company>
  <LinksUpToDate>false</LinksUpToDate>
  <CharactersWithSpaces>26012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孙雷</dc:creator>
  <cp:keywords/>
  <dc:description/>
  <cp:lastModifiedBy>孙雷</cp:lastModifiedBy>
  <cp:revision>2</cp:revision>
  <dcterms:created xsi:type="dcterms:W3CDTF">2014-11-14T06:22:00Z</dcterms:created>
  <dcterms:modified xsi:type="dcterms:W3CDTF">2014-11-14T06:22:00Z</dcterms:modified>
</cp:coreProperties>
</file>