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numId w:val="0"/>
        </w:numPr>
        <w:spacing w:before="312" w:after="156"/>
        <w:ind w:leftChars="0"/>
      </w:pPr>
      <w:bookmarkStart w:id="0" w:name="_Toc406677038"/>
      <w:bookmarkStart w:id="1" w:name="_Toc483496458"/>
      <w:bookmarkStart w:id="2" w:name="_Toc443"/>
      <w:r>
        <w:rPr>
          <w:rFonts w:hint="eastAsia"/>
          <w:lang w:eastAsia="zh-CN"/>
        </w:rPr>
        <w:t>一、</w:t>
      </w:r>
      <w:r>
        <w:rPr>
          <w:rFonts w:hint="eastAsia"/>
        </w:rPr>
        <w:t>毕业生规模与结构</w:t>
      </w:r>
      <w:bookmarkEnd w:id="0"/>
      <w:bookmarkEnd w:id="1"/>
      <w:bookmarkEnd w:id="2"/>
      <w:bookmarkStart w:id="3" w:name="_Toc406677039"/>
    </w:p>
    <w:p>
      <w:pPr>
        <w:pStyle w:val="7"/>
        <w:spacing w:before="156" w:after="156"/>
        <w:ind w:left="120"/>
      </w:pPr>
      <w:bookmarkStart w:id="4" w:name="_Toc407782526"/>
      <w:bookmarkStart w:id="5" w:name="_Toc533708892"/>
      <w:bookmarkStart w:id="6" w:name="_Toc10005"/>
      <w:r>
        <w:rPr>
          <w:rFonts w:hint="eastAsia"/>
        </w:rPr>
        <w:t>（</w:t>
      </w:r>
      <w:r>
        <w:t>一</w:t>
      </w:r>
      <w:r>
        <w:rPr>
          <w:rFonts w:hint="eastAsia"/>
        </w:rPr>
        <w:t>）</w:t>
      </w:r>
      <w:bookmarkEnd w:id="4"/>
      <w:bookmarkEnd w:id="5"/>
      <w:r>
        <w:rPr>
          <w:rFonts w:hint="eastAsia"/>
        </w:rPr>
        <w:t>基本情况</w:t>
      </w:r>
      <w:bookmarkEnd w:id="6"/>
    </w:p>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201</w:t>
      </w:r>
      <w:r>
        <w:rPr>
          <w:rFonts w:ascii="宋体" w:hAnsi="宋体" w:eastAsia="宋体" w:cs="Times New Roman"/>
        </w:rPr>
        <w:t>8</w:t>
      </w:r>
      <w:r>
        <w:rPr>
          <w:rFonts w:hint="eastAsia" w:ascii="宋体" w:hAnsi="宋体" w:eastAsia="宋体" w:cs="Times New Roman"/>
        </w:rPr>
        <w:t>届全校共有毕业生</w:t>
      </w:r>
      <w:r>
        <w:rPr>
          <w:rFonts w:ascii="宋体" w:hAnsi="宋体" w:eastAsia="宋体" w:cs="Times New Roman"/>
        </w:rPr>
        <w:t>4063</w:t>
      </w:r>
      <w:r>
        <w:rPr>
          <w:rFonts w:hint="eastAsia" w:ascii="宋体" w:hAnsi="宋体" w:eastAsia="宋体" w:cs="Times New Roman"/>
        </w:rPr>
        <w:t>人，其中本科生</w:t>
      </w:r>
      <w:r>
        <w:rPr>
          <w:rFonts w:ascii="宋体" w:hAnsi="宋体" w:eastAsia="宋体" w:cs="Times New Roman"/>
        </w:rPr>
        <w:t>2092</w:t>
      </w:r>
      <w:r>
        <w:rPr>
          <w:rFonts w:hint="eastAsia" w:ascii="宋体" w:hAnsi="宋体" w:eastAsia="宋体" w:cs="Times New Roman"/>
        </w:rPr>
        <w:t>人（包含第二学士学位</w:t>
      </w:r>
      <w:r>
        <w:rPr>
          <w:rFonts w:ascii="宋体" w:hAnsi="宋体" w:eastAsia="宋体" w:cs="Times New Roman"/>
        </w:rPr>
        <w:t>14</w:t>
      </w:r>
      <w:r>
        <w:rPr>
          <w:rFonts w:hint="eastAsia" w:ascii="宋体" w:hAnsi="宋体" w:eastAsia="宋体" w:cs="Times New Roman"/>
        </w:rPr>
        <w:t>人）；研究生</w:t>
      </w:r>
      <w:r>
        <w:rPr>
          <w:rFonts w:ascii="宋体" w:hAnsi="宋体" w:eastAsia="宋体" w:cs="Times New Roman"/>
        </w:rPr>
        <w:t>1971</w:t>
      </w:r>
      <w:r>
        <w:rPr>
          <w:rFonts w:hint="eastAsia" w:ascii="宋体" w:hAnsi="宋体" w:eastAsia="宋体" w:cs="Times New Roman"/>
        </w:rPr>
        <w:t>人（其中硕士研究生</w:t>
      </w:r>
      <w:r>
        <w:rPr>
          <w:rFonts w:ascii="宋体" w:hAnsi="宋体" w:eastAsia="宋体" w:cs="Times New Roman"/>
        </w:rPr>
        <w:t>1826</w:t>
      </w:r>
      <w:r>
        <w:rPr>
          <w:rFonts w:hint="eastAsia" w:ascii="宋体" w:hAnsi="宋体" w:eastAsia="宋体" w:cs="Times New Roman"/>
        </w:rPr>
        <w:t>人，博士研究生</w:t>
      </w:r>
      <w:r>
        <w:rPr>
          <w:rFonts w:ascii="宋体" w:hAnsi="宋体" w:eastAsia="宋体" w:cs="Times New Roman"/>
        </w:rPr>
        <w:t>145</w:t>
      </w:r>
      <w:r>
        <w:rPr>
          <w:rFonts w:hint="eastAsia" w:ascii="宋体" w:hAnsi="宋体" w:eastAsia="宋体" w:cs="Times New Roman"/>
        </w:rPr>
        <w:t>人）。</w:t>
      </w:r>
    </w:p>
    <w:p>
      <w:pPr>
        <w:keepNext/>
        <w:jc w:val="center"/>
        <w:rPr>
          <w:rFonts w:ascii="Calibri" w:hAnsi="Calibri" w:eastAsia="宋体" w:cs="Times New Roman"/>
        </w:rPr>
      </w:pPr>
      <w:r>
        <w:rPr>
          <w:rFonts w:ascii="Calibri" w:hAnsi="Calibri" w:eastAsia="宋体" w:cs="Times New Roman"/>
        </w:rPr>
        <w:drawing>
          <wp:inline distT="0" distB="0" distL="0" distR="0">
            <wp:extent cx="4572635" cy="2743200"/>
            <wp:effectExtent l="0" t="0" r="1841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572635" cy="2743200"/>
                    </a:xfrm>
                    <a:prstGeom prst="rect">
                      <a:avLst/>
                    </a:prstGeom>
                    <a:noFill/>
                  </pic:spPr>
                </pic:pic>
              </a:graphicData>
            </a:graphic>
          </wp:inline>
        </w:drawing>
      </w:r>
    </w:p>
    <w:p>
      <w:pPr>
        <w:spacing w:line="300" w:lineRule="auto"/>
        <w:ind w:firstLine="420" w:firstLineChars="200"/>
        <w:jc w:val="center"/>
        <w:rPr>
          <w:rFonts w:ascii="Calibri Light" w:hAnsi="Calibri Light" w:eastAsia="黑体" w:cs="Times New Roman"/>
          <w:sz w:val="21"/>
          <w:szCs w:val="20"/>
        </w:rPr>
      </w:pPr>
      <w:r>
        <w:rPr>
          <w:rFonts w:hint="eastAsia" w:ascii="Calibri Light" w:hAnsi="Calibri Light" w:eastAsia="黑体" w:cs="Times New Roman"/>
          <w:sz w:val="21"/>
          <w:szCs w:val="20"/>
        </w:rPr>
        <w:t xml:space="preserve">图 </w:t>
      </w:r>
      <w:r>
        <w:rPr>
          <w:rFonts w:ascii="Calibri Light" w:hAnsi="Calibri Light" w:eastAsia="黑体" w:cs="Times New Roman"/>
          <w:sz w:val="21"/>
          <w:szCs w:val="20"/>
        </w:rPr>
        <w:fldChar w:fldCharType="begin"/>
      </w:r>
      <w:r>
        <w:rPr>
          <w:rFonts w:ascii="Calibri Light" w:hAnsi="Calibri Light" w:eastAsia="黑体" w:cs="Times New Roman"/>
          <w:sz w:val="21"/>
          <w:szCs w:val="20"/>
        </w:rPr>
        <w:instrText xml:space="preserve"> </w:instrText>
      </w:r>
      <w:r>
        <w:rPr>
          <w:rFonts w:hint="eastAsia" w:ascii="Calibri Light" w:hAnsi="Calibri Light" w:eastAsia="黑体" w:cs="Times New Roman"/>
          <w:sz w:val="21"/>
          <w:szCs w:val="20"/>
        </w:rPr>
        <w:instrText xml:space="preserve">SEQ 图 \* ARABIC</w:instrText>
      </w:r>
      <w:r>
        <w:rPr>
          <w:rFonts w:ascii="Calibri Light" w:hAnsi="Calibri Light" w:eastAsia="黑体" w:cs="Times New Roman"/>
          <w:sz w:val="21"/>
          <w:szCs w:val="20"/>
        </w:rPr>
        <w:instrText xml:space="preserve"> </w:instrText>
      </w:r>
      <w:r>
        <w:rPr>
          <w:rFonts w:ascii="Calibri Light" w:hAnsi="Calibri Light" w:eastAsia="黑体" w:cs="Times New Roman"/>
          <w:sz w:val="21"/>
          <w:szCs w:val="20"/>
        </w:rPr>
        <w:fldChar w:fldCharType="separate"/>
      </w:r>
      <w:r>
        <w:rPr>
          <w:rFonts w:ascii="Calibri Light" w:hAnsi="Calibri Light" w:eastAsia="黑体" w:cs="Times New Roman"/>
          <w:sz w:val="21"/>
          <w:szCs w:val="20"/>
        </w:rPr>
        <w:t>1</w:t>
      </w:r>
      <w:r>
        <w:rPr>
          <w:rFonts w:ascii="Calibri Light" w:hAnsi="Calibri Light" w:eastAsia="黑体" w:cs="Times New Roman"/>
          <w:sz w:val="21"/>
          <w:szCs w:val="20"/>
        </w:rPr>
        <w:fldChar w:fldCharType="end"/>
      </w:r>
      <w:r>
        <w:rPr>
          <w:rFonts w:ascii="Calibri Light" w:hAnsi="Calibri Light" w:eastAsia="黑体" w:cs="Times New Roman"/>
          <w:sz w:val="21"/>
          <w:szCs w:val="20"/>
        </w:rPr>
        <w:t xml:space="preserve"> </w:t>
      </w:r>
      <w:r>
        <w:rPr>
          <w:rFonts w:hint="eastAsia" w:ascii="Calibri Light" w:hAnsi="Calibri Light" w:eastAsia="黑体" w:cs="Times New Roman"/>
          <w:sz w:val="21"/>
          <w:szCs w:val="20"/>
        </w:rPr>
        <w:t>毕业生结构层次分布图</w:t>
      </w:r>
    </w:p>
    <w:p>
      <w:pPr>
        <w:pStyle w:val="7"/>
        <w:spacing w:before="156" w:after="156"/>
        <w:ind w:left="120"/>
      </w:pPr>
      <w:bookmarkStart w:id="7" w:name="_Toc533708893"/>
      <w:bookmarkStart w:id="8" w:name="_Toc407782527"/>
      <w:bookmarkStart w:id="9" w:name="_Toc28860"/>
      <w:r>
        <w:rPr>
          <w:rFonts w:hint="eastAsia"/>
        </w:rPr>
        <w:t>（二）性别比例</w:t>
      </w:r>
      <w:bookmarkEnd w:id="7"/>
      <w:bookmarkEnd w:id="8"/>
      <w:bookmarkEnd w:id="9"/>
    </w:p>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毕业生中男生共有</w:t>
      </w:r>
      <w:r>
        <w:rPr>
          <w:rFonts w:ascii="宋体" w:hAnsi="宋体" w:eastAsia="宋体" w:cs="Times New Roman"/>
        </w:rPr>
        <w:t>1425</w:t>
      </w:r>
      <w:r>
        <w:rPr>
          <w:rFonts w:hint="eastAsia" w:ascii="宋体" w:hAnsi="宋体" w:eastAsia="宋体" w:cs="Times New Roman"/>
        </w:rPr>
        <w:t>人（其中本科生7</w:t>
      </w:r>
      <w:r>
        <w:rPr>
          <w:rFonts w:ascii="宋体" w:hAnsi="宋体" w:eastAsia="宋体" w:cs="Times New Roman"/>
        </w:rPr>
        <w:t>40</w:t>
      </w:r>
      <w:r>
        <w:rPr>
          <w:rFonts w:hint="eastAsia" w:ascii="宋体" w:hAnsi="宋体" w:eastAsia="宋体" w:cs="Times New Roman"/>
        </w:rPr>
        <w:t>人，硕士研究生</w:t>
      </w:r>
      <w:r>
        <w:rPr>
          <w:rFonts w:ascii="宋体" w:hAnsi="宋体" w:eastAsia="宋体" w:cs="Times New Roman"/>
        </w:rPr>
        <w:t>605</w:t>
      </w:r>
      <w:r>
        <w:rPr>
          <w:rFonts w:hint="eastAsia" w:ascii="宋体" w:hAnsi="宋体" w:eastAsia="宋体" w:cs="Times New Roman"/>
        </w:rPr>
        <w:t>人，博士研究生</w:t>
      </w:r>
      <w:r>
        <w:rPr>
          <w:rFonts w:ascii="宋体" w:hAnsi="宋体" w:eastAsia="宋体" w:cs="Times New Roman"/>
        </w:rPr>
        <w:t>80</w:t>
      </w:r>
      <w:r>
        <w:rPr>
          <w:rFonts w:hint="eastAsia" w:ascii="宋体" w:hAnsi="宋体" w:eastAsia="宋体" w:cs="Times New Roman"/>
        </w:rPr>
        <w:t>人）；女生共</w:t>
      </w:r>
      <w:r>
        <w:rPr>
          <w:rFonts w:ascii="宋体" w:hAnsi="宋体" w:eastAsia="宋体" w:cs="Times New Roman"/>
        </w:rPr>
        <w:t>2638</w:t>
      </w:r>
      <w:r>
        <w:rPr>
          <w:rFonts w:hint="eastAsia" w:ascii="宋体" w:hAnsi="宋体" w:eastAsia="宋体" w:cs="Times New Roman"/>
        </w:rPr>
        <w:t>人（其中本科生1</w:t>
      </w:r>
      <w:r>
        <w:rPr>
          <w:rFonts w:ascii="宋体" w:hAnsi="宋体" w:eastAsia="宋体" w:cs="Times New Roman"/>
        </w:rPr>
        <w:t>352</w:t>
      </w:r>
      <w:r>
        <w:rPr>
          <w:rFonts w:hint="eastAsia" w:ascii="宋体" w:hAnsi="宋体" w:eastAsia="宋体" w:cs="Times New Roman"/>
        </w:rPr>
        <w:t>人，硕士研究生</w:t>
      </w:r>
      <w:r>
        <w:rPr>
          <w:rFonts w:ascii="宋体" w:hAnsi="宋体" w:eastAsia="宋体" w:cs="Times New Roman"/>
        </w:rPr>
        <w:t>1221</w:t>
      </w:r>
      <w:r>
        <w:rPr>
          <w:rFonts w:hint="eastAsia" w:ascii="宋体" w:hAnsi="宋体" w:eastAsia="宋体" w:cs="Times New Roman"/>
        </w:rPr>
        <w:t>人，博士研究生</w:t>
      </w:r>
      <w:r>
        <w:rPr>
          <w:rFonts w:ascii="宋体" w:hAnsi="宋体" w:eastAsia="宋体" w:cs="Times New Roman"/>
        </w:rPr>
        <w:t>65</w:t>
      </w:r>
      <w:r>
        <w:rPr>
          <w:rFonts w:hint="eastAsia" w:ascii="宋体" w:hAnsi="宋体" w:eastAsia="宋体" w:cs="Times New Roman"/>
        </w:rPr>
        <w:t>人）。</w:t>
      </w:r>
    </w:p>
    <w:p>
      <w:pPr>
        <w:keepNext/>
        <w:rPr>
          <w:rFonts w:ascii="Calibri" w:hAnsi="Calibri" w:eastAsia="宋体" w:cs="Times New Roman"/>
        </w:rPr>
      </w:pPr>
      <w:r>
        <w:rPr>
          <w:rFonts w:ascii="Calibri" w:hAnsi="Calibri" w:eastAsia="宋体" w:cs="Times New Roman"/>
        </w:rPr>
        <w:drawing>
          <wp:inline distT="0" distB="0" distL="0" distR="0">
            <wp:extent cx="5428615" cy="1971675"/>
            <wp:effectExtent l="0" t="0" r="635" b="9525"/>
            <wp:docPr id="3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
                    <pic:cNvPicPr>
                      <a:picLocks noChangeAspect="1"/>
                    </pic:cNvPicPr>
                  </pic:nvPicPr>
                  <pic:blipFill>
                    <a:blip r:embed="rId6" cstate="print"/>
                    <a:stretch>
                      <a:fillRect/>
                    </a:stretch>
                  </pic:blipFill>
                  <pic:spPr>
                    <a:xfrm>
                      <a:off x="0" y="0"/>
                      <a:ext cx="5428615" cy="1971675"/>
                    </a:xfrm>
                    <a:prstGeom prst="rect">
                      <a:avLst/>
                    </a:prstGeom>
                  </pic:spPr>
                </pic:pic>
              </a:graphicData>
            </a:graphic>
          </wp:inline>
        </w:drawing>
      </w:r>
    </w:p>
    <w:p>
      <w:pPr>
        <w:spacing w:line="300" w:lineRule="auto"/>
        <w:ind w:firstLine="420" w:firstLineChars="200"/>
        <w:jc w:val="center"/>
        <w:rPr>
          <w:rFonts w:ascii="Calibri Light" w:hAnsi="Calibri Light" w:eastAsia="黑体" w:cs="Times New Roman"/>
          <w:sz w:val="21"/>
          <w:szCs w:val="20"/>
        </w:rPr>
      </w:pPr>
      <w:r>
        <w:rPr>
          <w:rFonts w:hint="eastAsia" w:ascii="Calibri Light" w:hAnsi="Calibri Light" w:eastAsia="黑体" w:cs="Times New Roman"/>
          <w:sz w:val="21"/>
          <w:szCs w:val="20"/>
        </w:rPr>
        <w:t xml:space="preserve">图 </w:t>
      </w:r>
      <w:r>
        <w:rPr>
          <w:rFonts w:ascii="Calibri Light" w:hAnsi="Calibri Light" w:eastAsia="黑体" w:cs="Times New Roman"/>
          <w:sz w:val="21"/>
          <w:szCs w:val="20"/>
        </w:rPr>
        <w:fldChar w:fldCharType="begin"/>
      </w:r>
      <w:r>
        <w:rPr>
          <w:rFonts w:ascii="Calibri Light" w:hAnsi="Calibri Light" w:eastAsia="黑体" w:cs="Times New Roman"/>
          <w:sz w:val="21"/>
          <w:szCs w:val="20"/>
        </w:rPr>
        <w:instrText xml:space="preserve"> </w:instrText>
      </w:r>
      <w:r>
        <w:rPr>
          <w:rFonts w:hint="eastAsia" w:ascii="Calibri Light" w:hAnsi="Calibri Light" w:eastAsia="黑体" w:cs="Times New Roman"/>
          <w:sz w:val="21"/>
          <w:szCs w:val="20"/>
        </w:rPr>
        <w:instrText xml:space="preserve">SEQ 图 \* ARABIC</w:instrText>
      </w:r>
      <w:r>
        <w:rPr>
          <w:rFonts w:ascii="Calibri Light" w:hAnsi="Calibri Light" w:eastAsia="黑体" w:cs="Times New Roman"/>
          <w:sz w:val="21"/>
          <w:szCs w:val="20"/>
        </w:rPr>
        <w:instrText xml:space="preserve"> </w:instrText>
      </w:r>
      <w:r>
        <w:rPr>
          <w:rFonts w:ascii="Calibri Light" w:hAnsi="Calibri Light" w:eastAsia="黑体" w:cs="Times New Roman"/>
          <w:sz w:val="21"/>
          <w:szCs w:val="20"/>
        </w:rPr>
        <w:fldChar w:fldCharType="separate"/>
      </w:r>
      <w:r>
        <w:rPr>
          <w:rFonts w:ascii="Calibri Light" w:hAnsi="Calibri Light" w:eastAsia="黑体" w:cs="Times New Roman"/>
          <w:sz w:val="21"/>
          <w:szCs w:val="20"/>
        </w:rPr>
        <w:t>2</w:t>
      </w:r>
      <w:r>
        <w:rPr>
          <w:rFonts w:ascii="Calibri Light" w:hAnsi="Calibri Light" w:eastAsia="黑体" w:cs="Times New Roman"/>
          <w:sz w:val="21"/>
          <w:szCs w:val="20"/>
        </w:rPr>
        <w:fldChar w:fldCharType="end"/>
      </w:r>
      <w:r>
        <w:rPr>
          <w:rFonts w:ascii="Calibri Light" w:hAnsi="Calibri Light" w:eastAsia="黑体" w:cs="Times New Roman"/>
          <w:sz w:val="21"/>
          <w:szCs w:val="20"/>
        </w:rPr>
        <w:t xml:space="preserve"> </w:t>
      </w:r>
      <w:r>
        <w:rPr>
          <w:rFonts w:hint="eastAsia" w:ascii="Calibri Light" w:hAnsi="Calibri Light" w:eastAsia="黑体" w:cs="Times New Roman"/>
          <w:sz w:val="21"/>
          <w:szCs w:val="20"/>
        </w:rPr>
        <w:t>毕业生性别比例图</w:t>
      </w:r>
    </w:p>
    <w:p>
      <w:pPr>
        <w:ind w:left="420"/>
        <w:rPr>
          <w:rFonts w:ascii="Calibri" w:hAnsi="Calibri" w:eastAsia="宋体" w:cs="Times New Roman"/>
        </w:rPr>
      </w:pPr>
    </w:p>
    <w:p>
      <w:pPr>
        <w:ind w:left="420"/>
        <w:rPr>
          <w:rFonts w:ascii="Calibri" w:hAnsi="Calibri" w:eastAsia="宋体" w:cs="Times New Roman"/>
        </w:rPr>
      </w:pPr>
    </w:p>
    <w:p>
      <w:pPr>
        <w:pStyle w:val="7"/>
        <w:spacing w:before="156" w:after="156"/>
        <w:ind w:left="120"/>
      </w:pPr>
      <w:bookmarkStart w:id="10" w:name="_Toc8663"/>
      <w:bookmarkStart w:id="11" w:name="_Toc533708894"/>
      <w:bookmarkStart w:id="12" w:name="_Toc407782528"/>
      <w:r>
        <w:rPr>
          <w:rFonts w:hint="eastAsia"/>
        </w:rPr>
        <w:t>（三）生源分布</w:t>
      </w:r>
      <w:bookmarkEnd w:id="10"/>
      <w:bookmarkEnd w:id="11"/>
      <w:bookmarkEnd w:id="12"/>
    </w:p>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北京生源共有</w:t>
      </w:r>
      <w:r>
        <w:rPr>
          <w:rFonts w:ascii="宋体" w:hAnsi="宋体" w:eastAsia="宋体" w:cs="Times New Roman"/>
        </w:rPr>
        <w:t>227</w:t>
      </w:r>
      <w:r>
        <w:rPr>
          <w:rFonts w:hint="eastAsia" w:ascii="宋体" w:hAnsi="宋体" w:eastAsia="宋体" w:cs="Times New Roman"/>
        </w:rPr>
        <w:t>人（其中本科生</w:t>
      </w:r>
      <w:r>
        <w:rPr>
          <w:rFonts w:ascii="宋体" w:hAnsi="宋体" w:eastAsia="宋体" w:cs="Times New Roman"/>
        </w:rPr>
        <w:t>84</w:t>
      </w:r>
      <w:r>
        <w:rPr>
          <w:rFonts w:hint="eastAsia" w:ascii="宋体" w:hAnsi="宋体" w:eastAsia="宋体" w:cs="Times New Roman"/>
        </w:rPr>
        <w:t>人，硕士研究生</w:t>
      </w:r>
      <w:r>
        <w:rPr>
          <w:rFonts w:ascii="宋体" w:hAnsi="宋体" w:eastAsia="宋体" w:cs="Times New Roman"/>
        </w:rPr>
        <w:t>128</w:t>
      </w:r>
      <w:r>
        <w:rPr>
          <w:rFonts w:hint="eastAsia" w:ascii="宋体" w:hAnsi="宋体" w:eastAsia="宋体" w:cs="Times New Roman"/>
        </w:rPr>
        <w:t>人，博士研究生</w:t>
      </w:r>
      <w:r>
        <w:rPr>
          <w:rFonts w:ascii="宋体" w:hAnsi="宋体" w:eastAsia="宋体" w:cs="Times New Roman"/>
        </w:rPr>
        <w:t>15</w:t>
      </w:r>
      <w:r>
        <w:rPr>
          <w:rFonts w:hint="eastAsia" w:ascii="宋体" w:hAnsi="宋体" w:eastAsia="宋体" w:cs="Times New Roman"/>
        </w:rPr>
        <w:t>人）；京外生源共有</w:t>
      </w:r>
      <w:r>
        <w:rPr>
          <w:rFonts w:ascii="宋体" w:hAnsi="宋体" w:eastAsia="宋体" w:cs="Times New Roman"/>
        </w:rPr>
        <w:t>3836</w:t>
      </w:r>
      <w:r>
        <w:rPr>
          <w:rFonts w:hint="eastAsia" w:ascii="宋体" w:hAnsi="宋体" w:eastAsia="宋体" w:cs="Times New Roman"/>
        </w:rPr>
        <w:t>人（其中本科生</w:t>
      </w:r>
      <w:r>
        <w:rPr>
          <w:rFonts w:ascii="宋体" w:hAnsi="宋体" w:eastAsia="宋体" w:cs="Times New Roman"/>
        </w:rPr>
        <w:t>2008</w:t>
      </w:r>
      <w:r>
        <w:rPr>
          <w:rFonts w:hint="eastAsia" w:ascii="宋体" w:hAnsi="宋体" w:eastAsia="宋体" w:cs="Times New Roman"/>
        </w:rPr>
        <w:t>人，硕士研究生</w:t>
      </w:r>
      <w:r>
        <w:rPr>
          <w:rFonts w:ascii="宋体" w:hAnsi="宋体" w:eastAsia="宋体" w:cs="Times New Roman"/>
        </w:rPr>
        <w:t>1698</w:t>
      </w:r>
      <w:r>
        <w:rPr>
          <w:rFonts w:hint="eastAsia" w:ascii="宋体" w:hAnsi="宋体" w:eastAsia="宋体" w:cs="Times New Roman"/>
        </w:rPr>
        <w:t>人，博士研究生</w:t>
      </w:r>
      <w:r>
        <w:rPr>
          <w:rFonts w:ascii="宋体" w:hAnsi="宋体" w:eastAsia="宋体" w:cs="Times New Roman"/>
        </w:rPr>
        <w:t>130</w:t>
      </w:r>
      <w:r>
        <w:rPr>
          <w:rFonts w:hint="eastAsia" w:ascii="宋体" w:hAnsi="宋体" w:eastAsia="宋体" w:cs="Times New Roman"/>
        </w:rPr>
        <w:t>人）。</w:t>
      </w:r>
    </w:p>
    <w:p>
      <w:pPr>
        <w:keepNext/>
        <w:jc w:val="center"/>
        <w:rPr>
          <w:rFonts w:ascii="Calibri" w:hAnsi="Calibri" w:eastAsia="宋体" w:cs="Times New Roman"/>
        </w:rPr>
      </w:pPr>
      <w:r>
        <w:rPr>
          <w:rFonts w:ascii="Calibri" w:hAnsi="Calibri" w:eastAsia="宋体" w:cs="Times New Roman"/>
        </w:rPr>
        <w:drawing>
          <wp:inline distT="0" distB="0" distL="0" distR="0">
            <wp:extent cx="5210175" cy="2486025"/>
            <wp:effectExtent l="0" t="0" r="9525" b="952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00" w:lineRule="auto"/>
        <w:ind w:firstLine="420" w:firstLineChars="200"/>
        <w:jc w:val="center"/>
        <w:rPr>
          <w:rFonts w:ascii="Calibri Light" w:hAnsi="Calibri Light" w:eastAsia="黑体" w:cs="Times New Roman"/>
          <w:sz w:val="21"/>
          <w:szCs w:val="20"/>
        </w:rPr>
      </w:pPr>
      <w:r>
        <w:rPr>
          <w:rFonts w:hint="eastAsia" w:ascii="Calibri Light" w:hAnsi="Calibri Light" w:eastAsia="黑体" w:cs="Times New Roman"/>
          <w:sz w:val="21"/>
          <w:szCs w:val="20"/>
        </w:rPr>
        <w:t xml:space="preserve">图 </w:t>
      </w:r>
      <w:r>
        <w:rPr>
          <w:rFonts w:ascii="Calibri Light" w:hAnsi="Calibri Light" w:eastAsia="黑体" w:cs="Times New Roman"/>
          <w:sz w:val="21"/>
          <w:szCs w:val="20"/>
        </w:rPr>
        <w:fldChar w:fldCharType="begin"/>
      </w:r>
      <w:r>
        <w:rPr>
          <w:rFonts w:ascii="Calibri Light" w:hAnsi="Calibri Light" w:eastAsia="黑体" w:cs="Times New Roman"/>
          <w:sz w:val="21"/>
          <w:szCs w:val="20"/>
        </w:rPr>
        <w:instrText xml:space="preserve"> </w:instrText>
      </w:r>
      <w:r>
        <w:rPr>
          <w:rFonts w:hint="eastAsia" w:ascii="Calibri Light" w:hAnsi="Calibri Light" w:eastAsia="黑体" w:cs="Times New Roman"/>
          <w:sz w:val="21"/>
          <w:szCs w:val="20"/>
        </w:rPr>
        <w:instrText xml:space="preserve">SEQ 图 \* ARABIC</w:instrText>
      </w:r>
      <w:r>
        <w:rPr>
          <w:rFonts w:ascii="Calibri Light" w:hAnsi="Calibri Light" w:eastAsia="黑体" w:cs="Times New Roman"/>
          <w:sz w:val="21"/>
          <w:szCs w:val="20"/>
        </w:rPr>
        <w:instrText xml:space="preserve"> </w:instrText>
      </w:r>
      <w:r>
        <w:rPr>
          <w:rFonts w:ascii="Calibri Light" w:hAnsi="Calibri Light" w:eastAsia="黑体" w:cs="Times New Roman"/>
          <w:sz w:val="21"/>
          <w:szCs w:val="20"/>
        </w:rPr>
        <w:fldChar w:fldCharType="separate"/>
      </w:r>
      <w:r>
        <w:rPr>
          <w:rFonts w:ascii="Calibri Light" w:hAnsi="Calibri Light" w:eastAsia="黑体" w:cs="Times New Roman"/>
          <w:sz w:val="21"/>
          <w:szCs w:val="20"/>
        </w:rPr>
        <w:t>3</w:t>
      </w:r>
      <w:r>
        <w:rPr>
          <w:rFonts w:ascii="Calibri Light" w:hAnsi="Calibri Light" w:eastAsia="黑体" w:cs="Times New Roman"/>
          <w:sz w:val="21"/>
          <w:szCs w:val="20"/>
        </w:rPr>
        <w:fldChar w:fldCharType="end"/>
      </w:r>
      <w:r>
        <w:rPr>
          <w:rFonts w:ascii="Calibri Light" w:hAnsi="Calibri Light" w:eastAsia="黑体" w:cs="Times New Roman"/>
          <w:sz w:val="21"/>
          <w:szCs w:val="20"/>
        </w:rPr>
        <w:t xml:space="preserve"> </w:t>
      </w:r>
      <w:r>
        <w:rPr>
          <w:rFonts w:hint="eastAsia" w:ascii="Calibri Light" w:hAnsi="Calibri Light" w:eastAsia="黑体" w:cs="Times New Roman"/>
          <w:sz w:val="21"/>
          <w:szCs w:val="20"/>
        </w:rPr>
        <w:t>毕业生生源分布比例图</w:t>
      </w:r>
    </w:p>
    <w:p>
      <w:pPr>
        <w:rPr>
          <w:rFonts w:ascii="Calibri" w:hAnsi="Calibri" w:eastAsia="宋体" w:cs="Times New Roman"/>
        </w:rPr>
      </w:pPr>
    </w:p>
    <w:p>
      <w:pPr>
        <w:pStyle w:val="7"/>
        <w:spacing w:before="156" w:after="156"/>
        <w:ind w:left="120"/>
      </w:pPr>
      <w:bookmarkStart w:id="13" w:name="_Toc407782529"/>
      <w:bookmarkStart w:id="14" w:name="_Toc29379"/>
      <w:bookmarkStart w:id="15" w:name="_Toc533708895"/>
      <w:r>
        <w:rPr>
          <w:rFonts w:hint="eastAsia"/>
        </w:rPr>
        <w:t>（四）民族比例</w:t>
      </w:r>
      <w:bookmarkEnd w:id="13"/>
      <w:bookmarkEnd w:id="14"/>
      <w:bookmarkEnd w:id="15"/>
    </w:p>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少数民族毕业生共有</w:t>
      </w:r>
      <w:r>
        <w:rPr>
          <w:rFonts w:ascii="宋体" w:hAnsi="宋体" w:eastAsia="宋体" w:cs="Times New Roman"/>
        </w:rPr>
        <w:t>540</w:t>
      </w:r>
      <w:r>
        <w:rPr>
          <w:rFonts w:hint="eastAsia" w:ascii="宋体" w:hAnsi="宋体" w:eastAsia="宋体" w:cs="Times New Roman"/>
        </w:rPr>
        <w:t>人，其中本科生</w:t>
      </w:r>
      <w:r>
        <w:rPr>
          <w:rFonts w:ascii="宋体" w:hAnsi="宋体" w:eastAsia="宋体" w:cs="Times New Roman"/>
        </w:rPr>
        <w:t>340</w:t>
      </w:r>
      <w:r>
        <w:rPr>
          <w:rFonts w:hint="eastAsia" w:ascii="宋体" w:hAnsi="宋体" w:eastAsia="宋体" w:cs="Times New Roman"/>
        </w:rPr>
        <w:t>人，硕士研究生</w:t>
      </w:r>
      <w:r>
        <w:rPr>
          <w:rFonts w:ascii="宋体" w:hAnsi="宋体" w:eastAsia="宋体" w:cs="Times New Roman"/>
        </w:rPr>
        <w:t>186</w:t>
      </w:r>
      <w:r>
        <w:rPr>
          <w:rFonts w:hint="eastAsia" w:ascii="宋体" w:hAnsi="宋体" w:eastAsia="宋体" w:cs="Times New Roman"/>
        </w:rPr>
        <w:t>人，博士研究生14人。</w:t>
      </w:r>
    </w:p>
    <w:p>
      <w:pPr>
        <w:keepNext/>
        <w:jc w:val="center"/>
        <w:rPr>
          <w:rFonts w:ascii="Calibri" w:hAnsi="Calibri" w:eastAsia="宋体" w:cs="Times New Roman"/>
        </w:rPr>
      </w:pPr>
      <w:r>
        <w:rPr>
          <w:rFonts w:ascii="Calibri" w:hAnsi="Calibri" w:eastAsia="宋体" w:cs="Times New Roman"/>
          <w:color w:val="FFFFFF"/>
        </w:rPr>
        <w:drawing>
          <wp:inline distT="0" distB="0" distL="0" distR="0">
            <wp:extent cx="4991100" cy="2781300"/>
            <wp:effectExtent l="0" t="0" r="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00" w:lineRule="auto"/>
        <w:ind w:firstLine="420" w:firstLineChars="200"/>
        <w:jc w:val="center"/>
        <w:rPr>
          <w:rFonts w:ascii="Calibri Light" w:hAnsi="Calibri Light" w:eastAsia="黑体" w:cs="Times New Roman"/>
          <w:sz w:val="21"/>
          <w:szCs w:val="20"/>
        </w:rPr>
      </w:pPr>
      <w:r>
        <w:rPr>
          <w:rFonts w:hint="eastAsia" w:ascii="Calibri Light" w:hAnsi="Calibri Light" w:eastAsia="黑体" w:cs="Times New Roman"/>
          <w:sz w:val="21"/>
          <w:szCs w:val="20"/>
        </w:rPr>
        <w:t xml:space="preserve">图 </w:t>
      </w:r>
      <w:r>
        <w:rPr>
          <w:rFonts w:ascii="Calibri Light" w:hAnsi="Calibri Light" w:eastAsia="黑体" w:cs="Times New Roman"/>
          <w:sz w:val="21"/>
          <w:szCs w:val="20"/>
        </w:rPr>
        <w:fldChar w:fldCharType="begin"/>
      </w:r>
      <w:r>
        <w:rPr>
          <w:rFonts w:ascii="Calibri Light" w:hAnsi="Calibri Light" w:eastAsia="黑体" w:cs="Times New Roman"/>
          <w:sz w:val="21"/>
          <w:szCs w:val="20"/>
        </w:rPr>
        <w:instrText xml:space="preserve"> </w:instrText>
      </w:r>
      <w:r>
        <w:rPr>
          <w:rFonts w:hint="eastAsia" w:ascii="Calibri Light" w:hAnsi="Calibri Light" w:eastAsia="黑体" w:cs="Times New Roman"/>
          <w:sz w:val="21"/>
          <w:szCs w:val="20"/>
        </w:rPr>
        <w:instrText xml:space="preserve">SEQ 图 \* ARABIC</w:instrText>
      </w:r>
      <w:r>
        <w:rPr>
          <w:rFonts w:ascii="Calibri Light" w:hAnsi="Calibri Light" w:eastAsia="黑体" w:cs="Times New Roman"/>
          <w:sz w:val="21"/>
          <w:szCs w:val="20"/>
        </w:rPr>
        <w:instrText xml:space="preserve"> </w:instrText>
      </w:r>
      <w:r>
        <w:rPr>
          <w:rFonts w:ascii="Calibri Light" w:hAnsi="Calibri Light" w:eastAsia="黑体" w:cs="Times New Roman"/>
          <w:sz w:val="21"/>
          <w:szCs w:val="20"/>
        </w:rPr>
        <w:fldChar w:fldCharType="separate"/>
      </w:r>
      <w:r>
        <w:rPr>
          <w:rFonts w:ascii="Calibri Light" w:hAnsi="Calibri Light" w:eastAsia="黑体" w:cs="Times New Roman"/>
          <w:sz w:val="21"/>
          <w:szCs w:val="20"/>
        </w:rPr>
        <w:t>4</w:t>
      </w:r>
      <w:r>
        <w:rPr>
          <w:rFonts w:ascii="Calibri Light" w:hAnsi="Calibri Light" w:eastAsia="黑体" w:cs="Times New Roman"/>
          <w:sz w:val="21"/>
          <w:szCs w:val="20"/>
        </w:rPr>
        <w:fldChar w:fldCharType="end"/>
      </w:r>
      <w:r>
        <w:rPr>
          <w:rFonts w:hint="eastAsia" w:ascii="Calibri Light" w:hAnsi="Calibri Light" w:eastAsia="黑体" w:cs="Times New Roman"/>
          <w:sz w:val="21"/>
          <w:szCs w:val="20"/>
        </w:rPr>
        <w:t xml:space="preserve"> 少数民族毕业生比例图</w:t>
      </w:r>
    </w:p>
    <w:p>
      <w:pPr>
        <w:widowControl/>
        <w:jc w:val="left"/>
        <w:rPr>
          <w:b/>
          <w:color w:val="2E75B6" w:themeColor="accent1" w:themeShade="BF"/>
          <w:sz w:val="32"/>
          <w:szCs w:val="32"/>
        </w:rPr>
      </w:pPr>
      <w:bookmarkStart w:id="16" w:name="_Toc483496459"/>
      <w:r>
        <w:br w:type="page"/>
      </w:r>
    </w:p>
    <w:bookmarkEnd w:id="3"/>
    <w:bookmarkEnd w:id="16"/>
    <w:p>
      <w:pPr>
        <w:pStyle w:val="6"/>
        <w:spacing w:before="312" w:after="156"/>
      </w:pPr>
      <w:bookmarkStart w:id="17" w:name="_Toc21091"/>
      <w:bookmarkStart w:id="18" w:name="_Toc533708897"/>
      <w:bookmarkStart w:id="19" w:name="_Toc534202857"/>
      <w:bookmarkStart w:id="20" w:name="_Toc407782531"/>
      <w:r>
        <w:rPr>
          <w:rFonts w:hint="eastAsia"/>
          <w:lang w:eastAsia="zh-CN"/>
        </w:rPr>
        <w:t>二</w:t>
      </w:r>
      <w:bookmarkStart w:id="27" w:name="_GoBack"/>
      <w:bookmarkEnd w:id="27"/>
      <w:r>
        <w:rPr>
          <w:rFonts w:hint="eastAsia"/>
        </w:rPr>
        <w:t>、2018年毕业生就业基本特点</w:t>
      </w:r>
      <w:bookmarkEnd w:id="17"/>
    </w:p>
    <w:p>
      <w:pPr>
        <w:pStyle w:val="7"/>
        <w:spacing w:before="156" w:after="156"/>
        <w:ind w:left="120"/>
      </w:pPr>
      <w:bookmarkStart w:id="21" w:name="_Toc28470"/>
      <w:r>
        <w:rPr>
          <w:rFonts w:hint="eastAsia"/>
        </w:rPr>
        <w:t>（一）毕业生就业率创历史新高</w:t>
      </w:r>
      <w:bookmarkEnd w:id="21"/>
    </w:p>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4063名毕业生中落实人数共3989人，毕业生就业落实率</w:t>
      </w:r>
      <w:r>
        <w:rPr>
          <w:rFonts w:ascii="宋体" w:hAnsi="宋体" w:eastAsia="宋体" w:cs="Times New Roman"/>
          <w:vertAlign w:val="superscript"/>
        </w:rPr>
        <w:footnoteReference w:id="0"/>
      </w:r>
      <w:r>
        <w:rPr>
          <w:rFonts w:hint="eastAsia" w:ascii="宋体" w:hAnsi="宋体" w:eastAsia="宋体" w:cs="Times New Roman"/>
        </w:rPr>
        <w:t>为98.18%。其中本科毕业生落实2067人，就业落实率为98.80%；硕士研究生落实1781人，就业落实率为97.54%；博士研究生落实141人，就业落实率为97.24%。</w:t>
      </w:r>
    </w:p>
    <w:p>
      <w:pPr>
        <w:pStyle w:val="7"/>
        <w:spacing w:before="156" w:after="156"/>
        <w:ind w:left="120"/>
      </w:pPr>
      <w:bookmarkStart w:id="22" w:name="_Toc5611"/>
      <w:r>
        <w:rPr>
          <w:rFonts w:hint="eastAsia"/>
        </w:rPr>
        <w:t>（二）本科生与研究生深造率差异较大</w:t>
      </w:r>
      <w:bookmarkEnd w:id="22"/>
    </w:p>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选择继续深造的毕业生共1441人，深造率</w:t>
      </w:r>
      <w:r>
        <w:rPr>
          <w:rFonts w:ascii="宋体" w:hAnsi="宋体" w:eastAsia="宋体" w:cs="Times New Roman"/>
          <w:vertAlign w:val="superscript"/>
        </w:rPr>
        <w:footnoteReference w:id="1"/>
      </w:r>
      <w:r>
        <w:rPr>
          <w:rFonts w:hint="eastAsia" w:ascii="宋体" w:hAnsi="宋体" w:eastAsia="宋体" w:cs="Times New Roman"/>
        </w:rPr>
        <w:t>为35.47%。其中本科生1313人，深造率为62.76%；硕士研究生114人，深造率为6</w:t>
      </w:r>
      <w:r>
        <w:rPr>
          <w:rFonts w:ascii="宋体" w:hAnsi="宋体" w:eastAsia="宋体" w:cs="Times New Roman"/>
        </w:rPr>
        <w:t>.</w:t>
      </w:r>
      <w:r>
        <w:rPr>
          <w:rFonts w:hint="eastAsia" w:ascii="宋体" w:hAnsi="宋体" w:eastAsia="宋体" w:cs="Times New Roman"/>
        </w:rPr>
        <w:t>24%；博士研究生14人，深造率为9.66%。</w:t>
      </w:r>
    </w:p>
    <w:p>
      <w:pPr>
        <w:pStyle w:val="7"/>
        <w:spacing w:before="156" w:after="156"/>
        <w:ind w:left="120"/>
      </w:pPr>
      <w:bookmarkStart w:id="23" w:name="_Toc13806"/>
      <w:r>
        <w:rPr>
          <w:rFonts w:hint="eastAsia"/>
        </w:rPr>
        <w:t>（三）总体就业签约率达到73%以上</w:t>
      </w:r>
      <w:bookmarkEnd w:id="23"/>
    </w:p>
    <w:bookmarkEnd w:id="18"/>
    <w:bookmarkEnd w:id="19"/>
    <w:bookmarkEnd w:id="20"/>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毕业生签约人数共3021人，就业签约率</w:t>
      </w:r>
      <w:r>
        <w:rPr>
          <w:rFonts w:ascii="宋体" w:hAnsi="宋体" w:eastAsia="宋体" w:cs="Times New Roman"/>
          <w:vertAlign w:val="superscript"/>
        </w:rPr>
        <w:footnoteReference w:id="2"/>
      </w:r>
      <w:r>
        <w:rPr>
          <w:rFonts w:hint="eastAsia" w:ascii="宋体" w:hAnsi="宋体" w:eastAsia="宋体" w:cs="Times New Roman"/>
        </w:rPr>
        <w:t>为74.35%。其中本科毕业生签约人数为1549人，就业签约率为74.04%；硕士研究生签约人数为1343人，就业签约率为73.55%；博士研究生签约人数为129人，就业签约率为88.97%。</w:t>
      </w:r>
    </w:p>
    <w:p>
      <w:pPr>
        <w:keepNext/>
        <w:jc w:val="center"/>
        <w:rPr>
          <w:rFonts w:ascii="Calibri" w:hAnsi="Calibri" w:eastAsia="宋体" w:cs="Times New Roman"/>
        </w:rPr>
      </w:pPr>
      <w:r>
        <w:rPr>
          <w:rFonts w:ascii="Calibri" w:hAnsi="Calibri" w:eastAsia="宋体" w:cs="Times New Roman"/>
        </w:rPr>
        <w:drawing>
          <wp:inline distT="0" distB="0" distL="0" distR="0">
            <wp:extent cx="4505325" cy="2362200"/>
            <wp:effectExtent l="4445" t="4445" r="5080" b="14605"/>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00" w:lineRule="auto"/>
        <w:ind w:firstLine="420" w:firstLineChars="200"/>
        <w:jc w:val="center"/>
        <w:rPr>
          <w:rFonts w:ascii="Calibri Light" w:hAnsi="Calibri Light" w:eastAsia="黑体" w:cs="Times New Roman"/>
          <w:sz w:val="21"/>
          <w:szCs w:val="20"/>
        </w:rPr>
      </w:pPr>
      <w:r>
        <w:rPr>
          <w:rFonts w:hint="eastAsia" w:ascii="Calibri Light" w:hAnsi="Calibri Light" w:eastAsia="黑体" w:cs="Times New Roman"/>
          <w:sz w:val="21"/>
          <w:szCs w:val="20"/>
        </w:rPr>
        <w:t xml:space="preserve">图 </w:t>
      </w:r>
      <w:r>
        <w:rPr>
          <w:rFonts w:ascii="Calibri Light" w:hAnsi="Calibri Light" w:eastAsia="黑体" w:cs="Times New Roman"/>
          <w:sz w:val="21"/>
          <w:szCs w:val="20"/>
        </w:rPr>
        <w:fldChar w:fldCharType="begin"/>
      </w:r>
      <w:r>
        <w:rPr>
          <w:rFonts w:ascii="Calibri Light" w:hAnsi="Calibri Light" w:eastAsia="黑体" w:cs="Times New Roman"/>
          <w:sz w:val="21"/>
          <w:szCs w:val="20"/>
        </w:rPr>
        <w:instrText xml:space="preserve"> </w:instrText>
      </w:r>
      <w:r>
        <w:rPr>
          <w:rFonts w:hint="eastAsia" w:ascii="Calibri Light" w:hAnsi="Calibri Light" w:eastAsia="黑体" w:cs="Times New Roman"/>
          <w:sz w:val="21"/>
          <w:szCs w:val="20"/>
        </w:rPr>
        <w:instrText xml:space="preserve">SEQ 图 \* ARABIC</w:instrText>
      </w:r>
      <w:r>
        <w:rPr>
          <w:rFonts w:ascii="Calibri Light" w:hAnsi="Calibri Light" w:eastAsia="黑体" w:cs="Times New Roman"/>
          <w:sz w:val="21"/>
          <w:szCs w:val="20"/>
        </w:rPr>
        <w:instrText xml:space="preserve"> </w:instrText>
      </w:r>
      <w:r>
        <w:rPr>
          <w:rFonts w:ascii="Calibri Light" w:hAnsi="Calibri Light" w:eastAsia="黑体" w:cs="Times New Roman"/>
          <w:sz w:val="21"/>
          <w:szCs w:val="20"/>
        </w:rPr>
        <w:fldChar w:fldCharType="separate"/>
      </w:r>
      <w:r>
        <w:rPr>
          <w:rFonts w:ascii="Calibri Light" w:hAnsi="Calibri Light" w:eastAsia="黑体" w:cs="Times New Roman"/>
          <w:sz w:val="21"/>
          <w:szCs w:val="20"/>
        </w:rPr>
        <w:t>5</w:t>
      </w:r>
      <w:r>
        <w:rPr>
          <w:rFonts w:ascii="Calibri Light" w:hAnsi="Calibri Light" w:eastAsia="黑体" w:cs="Times New Roman"/>
          <w:sz w:val="21"/>
          <w:szCs w:val="20"/>
        </w:rPr>
        <w:fldChar w:fldCharType="end"/>
      </w:r>
      <w:r>
        <w:rPr>
          <w:rFonts w:ascii="Calibri Light" w:hAnsi="Calibri Light" w:eastAsia="黑体" w:cs="Times New Roman"/>
          <w:sz w:val="21"/>
          <w:szCs w:val="20"/>
        </w:rPr>
        <w:t xml:space="preserve"> </w:t>
      </w:r>
      <w:r>
        <w:rPr>
          <w:rFonts w:hint="eastAsia" w:ascii="Calibri Light" w:hAnsi="Calibri Light" w:eastAsia="黑体" w:cs="Times New Roman"/>
          <w:sz w:val="21"/>
          <w:szCs w:val="20"/>
        </w:rPr>
        <w:t>毕业生就业状况图</w:t>
      </w:r>
    </w:p>
    <w:p>
      <w:pPr>
        <w:spacing w:line="360" w:lineRule="auto"/>
        <w:ind w:firstLine="420"/>
        <w:jc w:val="left"/>
        <w:rPr>
          <w:rFonts w:ascii="宋体" w:hAnsi="宋体" w:eastAsia="宋体" w:cs="Times New Roman"/>
        </w:rPr>
      </w:pPr>
      <w:r>
        <w:rPr>
          <w:rFonts w:ascii="宋体" w:hAnsi="宋体" w:eastAsia="宋体" w:cs="Times New Roman"/>
        </w:rPr>
        <w:t>本科毕业生实际落实就业2067</w:t>
      </w:r>
      <w:r>
        <w:rPr>
          <w:rFonts w:hint="eastAsia" w:ascii="宋体" w:hAnsi="宋体" w:eastAsia="宋体" w:cs="Times New Roman"/>
        </w:rPr>
        <w:t>人，就业落实率为</w:t>
      </w:r>
      <w:r>
        <w:rPr>
          <w:rFonts w:ascii="宋体" w:hAnsi="宋体" w:eastAsia="宋体" w:cs="Times New Roman"/>
        </w:rPr>
        <w:t>98.80</w:t>
      </w:r>
      <w:r>
        <w:rPr>
          <w:rFonts w:hint="eastAsia" w:ascii="宋体" w:hAnsi="宋体" w:eastAsia="宋体" w:cs="Times New Roman"/>
        </w:rPr>
        <w:t>%。其中升学</w:t>
      </w:r>
      <w:r>
        <w:rPr>
          <w:rFonts w:ascii="宋体" w:hAnsi="宋体" w:eastAsia="宋体" w:cs="Times New Roman"/>
        </w:rPr>
        <w:t>1155</w:t>
      </w:r>
      <w:r>
        <w:rPr>
          <w:rFonts w:hint="eastAsia" w:ascii="宋体" w:hAnsi="宋体" w:eastAsia="宋体" w:cs="Times New Roman"/>
        </w:rPr>
        <w:t>人，占毕业生总数的</w:t>
      </w:r>
      <w:r>
        <w:rPr>
          <w:rFonts w:ascii="宋体" w:hAnsi="宋体" w:eastAsia="宋体" w:cs="Times New Roman"/>
        </w:rPr>
        <w:t>55.21</w:t>
      </w:r>
      <w:r>
        <w:rPr>
          <w:rFonts w:hint="eastAsia" w:ascii="宋体" w:hAnsi="宋体" w:eastAsia="宋体" w:cs="Times New Roman"/>
        </w:rPr>
        <w:t>%；出国（境）留学</w:t>
      </w:r>
      <w:r>
        <w:rPr>
          <w:rFonts w:ascii="宋体" w:hAnsi="宋体" w:eastAsia="宋体" w:cs="Times New Roman"/>
        </w:rPr>
        <w:t>158</w:t>
      </w:r>
      <w:r>
        <w:rPr>
          <w:rFonts w:hint="eastAsia" w:ascii="宋体" w:hAnsi="宋体" w:eastAsia="宋体" w:cs="Times New Roman"/>
        </w:rPr>
        <w:t>人，占毕业生总数的</w:t>
      </w:r>
      <w:r>
        <w:rPr>
          <w:rFonts w:ascii="宋体" w:hAnsi="宋体" w:eastAsia="宋体" w:cs="Times New Roman"/>
        </w:rPr>
        <w:t>7.55</w:t>
      </w:r>
      <w:r>
        <w:rPr>
          <w:rFonts w:hint="eastAsia" w:ascii="宋体" w:hAnsi="宋体" w:eastAsia="宋体" w:cs="Times New Roman"/>
        </w:rPr>
        <w:t>%；签订就业协议</w:t>
      </w:r>
      <w:r>
        <w:rPr>
          <w:rFonts w:ascii="宋体" w:hAnsi="宋体" w:eastAsia="宋体" w:cs="Times New Roman"/>
        </w:rPr>
        <w:t>180</w:t>
      </w:r>
      <w:r>
        <w:rPr>
          <w:rFonts w:hint="eastAsia" w:ascii="宋体" w:hAnsi="宋体" w:eastAsia="宋体" w:cs="Times New Roman"/>
        </w:rPr>
        <w:t>人，占毕业生总数的</w:t>
      </w:r>
      <w:r>
        <w:rPr>
          <w:rFonts w:ascii="宋体" w:hAnsi="宋体" w:eastAsia="宋体" w:cs="Times New Roman"/>
        </w:rPr>
        <w:t>8.60</w:t>
      </w:r>
      <w:r>
        <w:rPr>
          <w:rFonts w:hint="eastAsia" w:ascii="宋体" w:hAnsi="宋体" w:eastAsia="宋体" w:cs="Times New Roman"/>
        </w:rPr>
        <w:t>%；签劳动合同</w:t>
      </w:r>
      <w:r>
        <w:rPr>
          <w:rFonts w:ascii="宋体" w:hAnsi="宋体" w:eastAsia="宋体" w:cs="Times New Roman"/>
        </w:rPr>
        <w:t>56</w:t>
      </w:r>
      <w:r>
        <w:rPr>
          <w:rFonts w:hint="eastAsia" w:ascii="宋体" w:hAnsi="宋体" w:eastAsia="宋体" w:cs="Times New Roman"/>
        </w:rPr>
        <w:t>人，占毕业生总数的</w:t>
      </w:r>
      <w:r>
        <w:rPr>
          <w:rFonts w:ascii="宋体" w:hAnsi="宋体" w:eastAsia="宋体" w:cs="Times New Roman"/>
        </w:rPr>
        <w:t>2.68</w:t>
      </w:r>
      <w:r>
        <w:rPr>
          <w:rFonts w:hint="eastAsia" w:ascii="宋体" w:hAnsi="宋体" w:eastAsia="宋体" w:cs="Times New Roman"/>
        </w:rPr>
        <w:t>%；其他就业形式</w:t>
      </w:r>
      <w:r>
        <w:rPr>
          <w:rFonts w:ascii="宋体" w:hAnsi="宋体" w:eastAsia="宋体" w:cs="Times New Roman"/>
        </w:rPr>
        <w:t>516</w:t>
      </w:r>
      <w:r>
        <w:rPr>
          <w:rFonts w:hint="eastAsia" w:ascii="宋体" w:hAnsi="宋体" w:eastAsia="宋体" w:cs="Times New Roman"/>
        </w:rPr>
        <w:t>人，占毕业生总数的2</w:t>
      </w:r>
      <w:r>
        <w:rPr>
          <w:rFonts w:ascii="宋体" w:hAnsi="宋体" w:eastAsia="宋体" w:cs="Times New Roman"/>
        </w:rPr>
        <w:t>4.67</w:t>
      </w:r>
      <w:r>
        <w:rPr>
          <w:rFonts w:hint="eastAsia" w:ascii="宋体" w:hAnsi="宋体" w:eastAsia="宋体" w:cs="Times New Roman"/>
        </w:rPr>
        <w:t>%；自主创业</w:t>
      </w:r>
      <w:r>
        <w:rPr>
          <w:rFonts w:ascii="宋体" w:hAnsi="宋体" w:eastAsia="宋体" w:cs="Times New Roman"/>
        </w:rPr>
        <w:t>2</w:t>
      </w:r>
      <w:r>
        <w:rPr>
          <w:rFonts w:hint="eastAsia" w:ascii="宋体" w:hAnsi="宋体" w:eastAsia="宋体" w:cs="Times New Roman"/>
        </w:rPr>
        <w:t>人，占毕业生总数的0</w:t>
      </w:r>
      <w:r>
        <w:rPr>
          <w:rFonts w:ascii="宋体" w:hAnsi="宋体" w:eastAsia="宋体" w:cs="Times New Roman"/>
        </w:rPr>
        <w:t>.10</w:t>
      </w:r>
      <w:r>
        <w:rPr>
          <w:rFonts w:hint="eastAsia" w:ascii="宋体" w:hAnsi="宋体" w:eastAsia="宋体" w:cs="Times New Roman"/>
        </w:rPr>
        <w:t>%。</w:t>
      </w:r>
    </w:p>
    <w:p>
      <w:pPr>
        <w:tabs>
          <w:tab w:val="left" w:pos="1405"/>
          <w:tab w:val="right" w:leader="dot" w:pos="8296"/>
        </w:tabs>
        <w:spacing w:line="360" w:lineRule="auto"/>
        <w:ind w:firstLine="480" w:firstLineChars="200"/>
        <w:rPr>
          <w:rFonts w:ascii="宋体" w:hAnsi="宋体" w:eastAsia="宋体" w:cs="Times New Roman"/>
        </w:rPr>
      </w:pPr>
      <w:r>
        <w:rPr>
          <w:rFonts w:ascii="宋体" w:hAnsi="宋体" w:eastAsia="宋体" w:cs="Times New Roman"/>
        </w:rPr>
        <w:t>硕士研究生实际落实1781</w:t>
      </w:r>
      <w:r>
        <w:rPr>
          <w:rFonts w:hint="eastAsia" w:ascii="宋体" w:hAnsi="宋体" w:eastAsia="宋体" w:cs="Times New Roman"/>
        </w:rPr>
        <w:t>人，就业落实率为</w:t>
      </w:r>
      <w:r>
        <w:rPr>
          <w:rFonts w:ascii="宋体" w:hAnsi="宋体" w:eastAsia="宋体" w:cs="Times New Roman"/>
        </w:rPr>
        <w:t>97.54</w:t>
      </w:r>
      <w:r>
        <w:rPr>
          <w:rFonts w:hint="eastAsia" w:ascii="宋体" w:hAnsi="宋体" w:eastAsia="宋体" w:cs="Times New Roman"/>
        </w:rPr>
        <w:t>%。其中升学</w:t>
      </w:r>
      <w:r>
        <w:rPr>
          <w:rFonts w:ascii="宋体" w:hAnsi="宋体" w:eastAsia="宋体" w:cs="Times New Roman"/>
        </w:rPr>
        <w:t>66</w:t>
      </w:r>
      <w:r>
        <w:rPr>
          <w:rFonts w:hint="eastAsia" w:ascii="宋体" w:hAnsi="宋体" w:eastAsia="宋体" w:cs="Times New Roman"/>
        </w:rPr>
        <w:t>人，占毕业生总数的</w:t>
      </w:r>
      <w:r>
        <w:rPr>
          <w:rFonts w:ascii="宋体" w:hAnsi="宋体" w:eastAsia="宋体" w:cs="Times New Roman"/>
        </w:rPr>
        <w:t>3.61</w:t>
      </w:r>
      <w:r>
        <w:rPr>
          <w:rFonts w:hint="eastAsia" w:ascii="宋体" w:hAnsi="宋体" w:eastAsia="宋体" w:cs="Times New Roman"/>
        </w:rPr>
        <w:t>%；出国（境）留学</w:t>
      </w:r>
      <w:r>
        <w:rPr>
          <w:rFonts w:ascii="宋体" w:hAnsi="宋体" w:eastAsia="宋体" w:cs="Times New Roman"/>
        </w:rPr>
        <w:t>48</w:t>
      </w:r>
      <w:r>
        <w:rPr>
          <w:rFonts w:hint="eastAsia" w:ascii="宋体" w:hAnsi="宋体" w:eastAsia="宋体" w:cs="Times New Roman"/>
        </w:rPr>
        <w:t>人，占毕业生总数的</w:t>
      </w:r>
      <w:r>
        <w:rPr>
          <w:rFonts w:ascii="宋体" w:hAnsi="宋体" w:eastAsia="宋体" w:cs="Times New Roman"/>
        </w:rPr>
        <w:t>2.63</w:t>
      </w:r>
      <w:r>
        <w:rPr>
          <w:rFonts w:hint="eastAsia" w:ascii="宋体" w:hAnsi="宋体" w:eastAsia="宋体" w:cs="Times New Roman"/>
        </w:rPr>
        <w:t>%；签订就业协议</w:t>
      </w:r>
      <w:r>
        <w:rPr>
          <w:rFonts w:ascii="宋体" w:hAnsi="宋体" w:eastAsia="宋体" w:cs="Times New Roman"/>
        </w:rPr>
        <w:t>850</w:t>
      </w:r>
      <w:r>
        <w:rPr>
          <w:rFonts w:hint="eastAsia" w:ascii="宋体" w:hAnsi="宋体" w:eastAsia="宋体" w:cs="Times New Roman"/>
        </w:rPr>
        <w:t>人，占毕业生总数的</w:t>
      </w:r>
      <w:r>
        <w:rPr>
          <w:rFonts w:ascii="宋体" w:hAnsi="宋体" w:eastAsia="宋体" w:cs="Times New Roman"/>
        </w:rPr>
        <w:t>46.55</w:t>
      </w:r>
      <w:r>
        <w:rPr>
          <w:rFonts w:hint="eastAsia" w:ascii="宋体" w:hAnsi="宋体" w:eastAsia="宋体" w:cs="Times New Roman"/>
        </w:rPr>
        <w:t>%；签劳动合同</w:t>
      </w:r>
      <w:r>
        <w:rPr>
          <w:rFonts w:ascii="宋体" w:hAnsi="宋体" w:eastAsia="宋体" w:cs="Times New Roman"/>
        </w:rPr>
        <w:t>379</w:t>
      </w:r>
      <w:r>
        <w:rPr>
          <w:rFonts w:hint="eastAsia" w:ascii="宋体" w:hAnsi="宋体" w:eastAsia="宋体" w:cs="Times New Roman"/>
        </w:rPr>
        <w:t>人，占毕业生总数的</w:t>
      </w:r>
      <w:r>
        <w:rPr>
          <w:rFonts w:ascii="宋体" w:hAnsi="宋体" w:eastAsia="宋体" w:cs="Times New Roman"/>
        </w:rPr>
        <w:t>20.76</w:t>
      </w:r>
      <w:r>
        <w:rPr>
          <w:rFonts w:hint="eastAsia" w:ascii="宋体" w:hAnsi="宋体" w:eastAsia="宋体" w:cs="Times New Roman"/>
        </w:rPr>
        <w:t>%；其他就业形式</w:t>
      </w:r>
      <w:r>
        <w:rPr>
          <w:rFonts w:ascii="宋体" w:hAnsi="宋体" w:eastAsia="宋体" w:cs="Times New Roman"/>
        </w:rPr>
        <w:t>429</w:t>
      </w:r>
      <w:r>
        <w:rPr>
          <w:rFonts w:hint="eastAsia" w:ascii="宋体" w:hAnsi="宋体" w:eastAsia="宋体" w:cs="Times New Roman"/>
        </w:rPr>
        <w:t>人，占毕业生总数的2</w:t>
      </w:r>
      <w:r>
        <w:rPr>
          <w:rFonts w:ascii="宋体" w:hAnsi="宋体" w:eastAsia="宋体" w:cs="Times New Roman"/>
        </w:rPr>
        <w:t>3.49</w:t>
      </w:r>
      <w:r>
        <w:rPr>
          <w:rFonts w:hint="eastAsia" w:ascii="宋体" w:hAnsi="宋体" w:eastAsia="宋体" w:cs="Times New Roman"/>
        </w:rPr>
        <w:t>%；自主创业9人，占毕业生总数的</w:t>
      </w:r>
      <w:r>
        <w:rPr>
          <w:rFonts w:ascii="宋体" w:hAnsi="宋体" w:eastAsia="宋体" w:cs="Times New Roman"/>
        </w:rPr>
        <w:t>0.49</w:t>
      </w:r>
      <w:r>
        <w:rPr>
          <w:rFonts w:hint="eastAsia" w:ascii="宋体" w:hAnsi="宋体" w:eastAsia="宋体" w:cs="Times New Roman"/>
        </w:rPr>
        <w:t>%。</w:t>
      </w:r>
    </w:p>
    <w:p>
      <w:pPr>
        <w:tabs>
          <w:tab w:val="left" w:pos="1405"/>
          <w:tab w:val="right" w:leader="dot" w:pos="8296"/>
        </w:tabs>
        <w:spacing w:line="360" w:lineRule="auto"/>
        <w:ind w:firstLine="480" w:firstLineChars="200"/>
        <w:rPr>
          <w:rFonts w:ascii="宋体" w:hAnsi="宋体" w:eastAsia="宋体" w:cs="Times New Roman"/>
        </w:rPr>
      </w:pPr>
      <w:r>
        <w:rPr>
          <w:rFonts w:hint="eastAsia" w:ascii="宋体" w:hAnsi="宋体" w:eastAsia="宋体" w:cs="Times New Roman"/>
        </w:rPr>
        <w:t>博士研究生实际落实人数</w:t>
      </w:r>
      <w:r>
        <w:rPr>
          <w:rFonts w:ascii="宋体" w:hAnsi="宋体" w:eastAsia="宋体" w:cs="Times New Roman"/>
        </w:rPr>
        <w:t>141</w:t>
      </w:r>
      <w:r>
        <w:rPr>
          <w:rFonts w:hint="eastAsia" w:ascii="宋体" w:hAnsi="宋体" w:eastAsia="宋体" w:cs="Times New Roman"/>
        </w:rPr>
        <w:t>人，就业落实率为</w:t>
      </w:r>
      <w:r>
        <w:rPr>
          <w:rFonts w:ascii="宋体" w:hAnsi="宋体" w:eastAsia="宋体" w:cs="Times New Roman"/>
        </w:rPr>
        <w:t>97.24</w:t>
      </w:r>
      <w:r>
        <w:rPr>
          <w:rFonts w:hint="eastAsia" w:ascii="宋体" w:hAnsi="宋体" w:eastAsia="宋体" w:cs="Times New Roman"/>
        </w:rPr>
        <w:t>%。其中升学</w:t>
      </w:r>
      <w:r>
        <w:rPr>
          <w:rFonts w:ascii="宋体" w:hAnsi="宋体" w:eastAsia="宋体" w:cs="Times New Roman"/>
        </w:rPr>
        <w:t>14</w:t>
      </w:r>
      <w:r>
        <w:rPr>
          <w:rFonts w:hint="eastAsia" w:ascii="宋体" w:hAnsi="宋体" w:eastAsia="宋体" w:cs="Times New Roman"/>
        </w:rPr>
        <w:t>人，占毕业生总数的</w:t>
      </w:r>
      <w:r>
        <w:rPr>
          <w:rFonts w:ascii="宋体" w:hAnsi="宋体" w:eastAsia="宋体" w:cs="Times New Roman"/>
        </w:rPr>
        <w:t>9.66</w:t>
      </w:r>
      <w:r>
        <w:rPr>
          <w:rFonts w:hint="eastAsia" w:ascii="宋体" w:hAnsi="宋体" w:eastAsia="宋体" w:cs="Times New Roman"/>
        </w:rPr>
        <w:t>%；签订就业协议</w:t>
      </w:r>
      <w:r>
        <w:rPr>
          <w:rFonts w:ascii="宋体" w:hAnsi="宋体" w:eastAsia="宋体" w:cs="Times New Roman"/>
        </w:rPr>
        <w:t>102</w:t>
      </w:r>
      <w:r>
        <w:rPr>
          <w:rFonts w:hint="eastAsia" w:ascii="宋体" w:hAnsi="宋体" w:eastAsia="宋体" w:cs="Times New Roman"/>
        </w:rPr>
        <w:t>人，占毕业生总数的</w:t>
      </w:r>
      <w:r>
        <w:rPr>
          <w:rFonts w:ascii="宋体" w:hAnsi="宋体" w:eastAsia="宋体" w:cs="Times New Roman"/>
        </w:rPr>
        <w:t>70.34</w:t>
      </w:r>
      <w:r>
        <w:rPr>
          <w:rFonts w:hint="eastAsia" w:ascii="宋体" w:hAnsi="宋体" w:eastAsia="宋体" w:cs="Times New Roman"/>
        </w:rPr>
        <w:t>%；签劳动合同</w:t>
      </w:r>
      <w:r>
        <w:rPr>
          <w:rFonts w:ascii="宋体" w:hAnsi="宋体" w:eastAsia="宋体" w:cs="Times New Roman"/>
        </w:rPr>
        <w:t>13</w:t>
      </w:r>
      <w:r>
        <w:rPr>
          <w:rFonts w:hint="eastAsia" w:ascii="宋体" w:hAnsi="宋体" w:eastAsia="宋体" w:cs="Times New Roman"/>
        </w:rPr>
        <w:t>人，占毕业生总数的</w:t>
      </w:r>
      <w:r>
        <w:rPr>
          <w:rFonts w:ascii="宋体" w:hAnsi="宋体" w:eastAsia="宋体" w:cs="Times New Roman"/>
        </w:rPr>
        <w:t>8.97</w:t>
      </w:r>
      <w:r>
        <w:rPr>
          <w:rFonts w:hint="eastAsia" w:ascii="宋体" w:hAnsi="宋体" w:eastAsia="宋体" w:cs="Times New Roman"/>
        </w:rPr>
        <w:t>%；其他就业形式</w:t>
      </w:r>
      <w:r>
        <w:rPr>
          <w:rFonts w:ascii="宋体" w:hAnsi="宋体" w:eastAsia="宋体" w:cs="Times New Roman"/>
        </w:rPr>
        <w:t>12</w:t>
      </w:r>
      <w:r>
        <w:rPr>
          <w:rFonts w:hint="eastAsia" w:ascii="宋体" w:hAnsi="宋体" w:eastAsia="宋体" w:cs="Times New Roman"/>
        </w:rPr>
        <w:t>人，占毕业生总数的</w:t>
      </w:r>
      <w:r>
        <w:rPr>
          <w:rFonts w:ascii="宋体" w:hAnsi="宋体" w:eastAsia="宋体" w:cs="Times New Roman"/>
        </w:rPr>
        <w:t>8.28</w:t>
      </w:r>
      <w:r>
        <w:rPr>
          <w:rFonts w:hint="eastAsia" w:ascii="宋体" w:hAnsi="宋体" w:eastAsia="宋体" w:cs="Times New Roman"/>
        </w:rPr>
        <w:t>%。</w:t>
      </w:r>
    </w:p>
    <w:p>
      <w:pPr>
        <w:jc w:val="center"/>
        <w:rPr>
          <w:rFonts w:ascii="Calibri" w:hAnsi="Calibri" w:eastAsia="宋体" w:cs="Times New Roman"/>
        </w:rPr>
      </w:pPr>
    </w:p>
    <w:p>
      <w:pPr>
        <w:spacing w:line="300" w:lineRule="auto"/>
        <w:ind w:firstLine="420" w:firstLineChars="200"/>
        <w:jc w:val="center"/>
        <w:rPr>
          <w:rFonts w:ascii="Calibri Light" w:hAnsi="Calibri Light" w:eastAsia="黑体" w:cs="Times New Roman"/>
          <w:sz w:val="21"/>
          <w:szCs w:val="20"/>
        </w:rPr>
      </w:pPr>
      <w:r>
        <w:rPr>
          <w:rFonts w:hint="eastAsia" w:ascii="Calibri Light" w:hAnsi="Calibri Light" w:eastAsia="黑体" w:cs="Times New Roman"/>
          <w:sz w:val="21"/>
          <w:szCs w:val="20"/>
        </w:rPr>
        <w:t xml:space="preserve">表 </w:t>
      </w:r>
      <w:r>
        <w:rPr>
          <w:rFonts w:ascii="Calibri Light" w:hAnsi="Calibri Light" w:eastAsia="黑体" w:cs="Times New Roman"/>
          <w:sz w:val="21"/>
          <w:szCs w:val="20"/>
        </w:rPr>
        <w:fldChar w:fldCharType="begin"/>
      </w:r>
      <w:r>
        <w:rPr>
          <w:rFonts w:ascii="Calibri Light" w:hAnsi="Calibri Light" w:eastAsia="黑体" w:cs="Times New Roman"/>
          <w:sz w:val="21"/>
          <w:szCs w:val="20"/>
        </w:rPr>
        <w:instrText xml:space="preserve"> </w:instrText>
      </w:r>
      <w:r>
        <w:rPr>
          <w:rFonts w:hint="eastAsia" w:ascii="Calibri Light" w:hAnsi="Calibri Light" w:eastAsia="黑体" w:cs="Times New Roman"/>
          <w:sz w:val="21"/>
          <w:szCs w:val="20"/>
        </w:rPr>
        <w:instrText xml:space="preserve">SEQ 表 \* ARABIC</w:instrText>
      </w:r>
      <w:r>
        <w:rPr>
          <w:rFonts w:ascii="Calibri Light" w:hAnsi="Calibri Light" w:eastAsia="黑体" w:cs="Times New Roman"/>
          <w:sz w:val="21"/>
          <w:szCs w:val="20"/>
        </w:rPr>
        <w:instrText xml:space="preserve"> </w:instrText>
      </w:r>
      <w:r>
        <w:rPr>
          <w:rFonts w:ascii="Calibri Light" w:hAnsi="Calibri Light" w:eastAsia="黑体" w:cs="Times New Roman"/>
          <w:sz w:val="21"/>
          <w:szCs w:val="20"/>
        </w:rPr>
        <w:fldChar w:fldCharType="separate"/>
      </w:r>
      <w:r>
        <w:rPr>
          <w:rFonts w:ascii="Calibri Light" w:hAnsi="Calibri Light" w:eastAsia="黑体" w:cs="Times New Roman"/>
          <w:sz w:val="21"/>
          <w:szCs w:val="20"/>
        </w:rPr>
        <w:t>1</w:t>
      </w:r>
      <w:r>
        <w:rPr>
          <w:rFonts w:ascii="Calibri Light" w:hAnsi="Calibri Light" w:eastAsia="黑体" w:cs="Times New Roman"/>
          <w:sz w:val="21"/>
          <w:szCs w:val="20"/>
        </w:rPr>
        <w:fldChar w:fldCharType="end"/>
      </w:r>
      <w:r>
        <w:rPr>
          <w:rFonts w:ascii="Calibri Light" w:hAnsi="Calibri Light" w:eastAsia="黑体" w:cs="Times New Roman"/>
          <w:sz w:val="21"/>
          <w:szCs w:val="20"/>
        </w:rPr>
        <w:t xml:space="preserve"> </w:t>
      </w:r>
      <w:r>
        <w:rPr>
          <w:rFonts w:hint="eastAsia" w:ascii="Calibri Light" w:hAnsi="Calibri Light" w:eastAsia="黑体" w:cs="Times New Roman"/>
          <w:sz w:val="21"/>
          <w:szCs w:val="20"/>
        </w:rPr>
        <w:t>分层次就业状况统计表</w:t>
      </w:r>
    </w:p>
    <w:tbl>
      <w:tblPr>
        <w:tblStyle w:val="3"/>
        <w:tblW w:w="9473" w:type="dxa"/>
        <w:jc w:val="center"/>
        <w:tblLayout w:type="fixed"/>
        <w:tblCellMar>
          <w:top w:w="0" w:type="dxa"/>
          <w:left w:w="108" w:type="dxa"/>
          <w:bottom w:w="0" w:type="dxa"/>
          <w:right w:w="108" w:type="dxa"/>
        </w:tblCellMar>
      </w:tblPr>
      <w:tblGrid>
        <w:gridCol w:w="639"/>
        <w:gridCol w:w="1063"/>
        <w:gridCol w:w="1134"/>
        <w:gridCol w:w="992"/>
        <w:gridCol w:w="993"/>
        <w:gridCol w:w="1134"/>
        <w:gridCol w:w="1209"/>
        <w:gridCol w:w="1296"/>
        <w:gridCol w:w="1013"/>
      </w:tblGrid>
      <w:tr>
        <w:tblPrEx>
          <w:tblCellMar>
            <w:top w:w="0" w:type="dxa"/>
            <w:left w:w="108" w:type="dxa"/>
            <w:bottom w:w="0" w:type="dxa"/>
            <w:right w:w="108" w:type="dxa"/>
          </w:tblCellMar>
        </w:tblPrEx>
        <w:trPr>
          <w:trHeight w:val="261" w:hRule="atLeast"/>
          <w:jc w:val="center"/>
        </w:trPr>
        <w:tc>
          <w:tcPr>
            <w:tcW w:w="1702" w:type="dxa"/>
            <w:gridSpan w:val="2"/>
            <w:vMerge w:val="restart"/>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就业形式</w:t>
            </w:r>
          </w:p>
        </w:tc>
        <w:tc>
          <w:tcPr>
            <w:tcW w:w="2126" w:type="dxa"/>
            <w:gridSpan w:val="2"/>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升学</w:t>
            </w:r>
          </w:p>
        </w:tc>
        <w:tc>
          <w:tcPr>
            <w:tcW w:w="993" w:type="dxa"/>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出国</w:t>
            </w:r>
          </w:p>
        </w:tc>
        <w:tc>
          <w:tcPr>
            <w:tcW w:w="3639" w:type="dxa"/>
            <w:gridSpan w:val="3"/>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就业</w:t>
            </w:r>
          </w:p>
        </w:tc>
        <w:tc>
          <w:tcPr>
            <w:tcW w:w="1013" w:type="dxa"/>
            <w:tcBorders>
              <w:top w:val="nil"/>
              <w:left w:val="nil"/>
              <w:bottom w:val="single" w:color="FFFFFF" w:sz="8" w:space="0"/>
              <w:right w:val="nil"/>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创业</w:t>
            </w:r>
          </w:p>
        </w:tc>
      </w:tr>
      <w:tr>
        <w:tblPrEx>
          <w:tblCellMar>
            <w:top w:w="0" w:type="dxa"/>
            <w:left w:w="108" w:type="dxa"/>
            <w:bottom w:w="0" w:type="dxa"/>
            <w:right w:w="108" w:type="dxa"/>
          </w:tblCellMar>
        </w:tblPrEx>
        <w:trPr>
          <w:trHeight w:val="261" w:hRule="atLeast"/>
          <w:jc w:val="center"/>
        </w:trPr>
        <w:tc>
          <w:tcPr>
            <w:tcW w:w="1702" w:type="dxa"/>
            <w:gridSpan w:val="2"/>
            <w:vMerge w:val="continue"/>
            <w:tcBorders>
              <w:top w:val="nil"/>
              <w:left w:val="nil"/>
              <w:bottom w:val="single" w:color="FFFFFF" w:sz="8" w:space="0"/>
              <w:right w:val="single" w:color="FFFFFF" w:sz="8" w:space="0"/>
            </w:tcBorders>
            <w:shd w:val="clear" w:color="auto" w:fill="4472C4"/>
            <w:vAlign w:val="center"/>
          </w:tcPr>
          <w:p>
            <w:pPr>
              <w:widowControl/>
              <w:jc w:val="center"/>
              <w:rPr>
                <w:rFonts w:ascii="微软雅黑" w:hAnsi="微软雅黑" w:eastAsia="微软雅黑" w:cs="Arial"/>
                <w:color w:val="FFFFFF"/>
                <w:kern w:val="0"/>
                <w:sz w:val="18"/>
                <w:szCs w:val="18"/>
              </w:rPr>
            </w:pPr>
          </w:p>
        </w:tc>
        <w:tc>
          <w:tcPr>
            <w:tcW w:w="1134" w:type="dxa"/>
            <w:tcBorders>
              <w:top w:val="nil"/>
              <w:left w:val="nil"/>
              <w:bottom w:val="single" w:color="FFFFFF" w:sz="8" w:space="0"/>
              <w:right w:val="nil"/>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已上二学位</w:t>
            </w:r>
          </w:p>
        </w:tc>
        <w:tc>
          <w:tcPr>
            <w:tcW w:w="992" w:type="dxa"/>
            <w:tcBorders>
              <w:top w:val="nil"/>
              <w:left w:val="single" w:color="FFFFFF" w:sz="8" w:space="0"/>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国内升学</w:t>
            </w:r>
          </w:p>
        </w:tc>
        <w:tc>
          <w:tcPr>
            <w:tcW w:w="993" w:type="dxa"/>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出国（境）</w:t>
            </w:r>
          </w:p>
        </w:tc>
        <w:tc>
          <w:tcPr>
            <w:tcW w:w="1134" w:type="dxa"/>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签就业协议</w:t>
            </w:r>
          </w:p>
        </w:tc>
        <w:tc>
          <w:tcPr>
            <w:tcW w:w="1209" w:type="dxa"/>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签劳动合同</w:t>
            </w:r>
          </w:p>
        </w:tc>
        <w:tc>
          <w:tcPr>
            <w:tcW w:w="1296" w:type="dxa"/>
            <w:tcBorders>
              <w:top w:val="nil"/>
              <w:left w:val="nil"/>
              <w:bottom w:val="single" w:color="FFFFFF" w:sz="8" w:space="0"/>
              <w:right w:val="single" w:color="FFFFFF" w:sz="8" w:space="0"/>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其他形式就业</w:t>
            </w:r>
          </w:p>
        </w:tc>
        <w:tc>
          <w:tcPr>
            <w:tcW w:w="1013" w:type="dxa"/>
            <w:tcBorders>
              <w:top w:val="nil"/>
              <w:left w:val="nil"/>
              <w:bottom w:val="single" w:color="FFFFFF" w:sz="8" w:space="0"/>
              <w:right w:val="nil"/>
            </w:tcBorders>
            <w:shd w:val="clear" w:color="auto" w:fill="4472C4"/>
            <w:noWrap/>
            <w:vAlign w:val="center"/>
          </w:tcPr>
          <w:p>
            <w:pPr>
              <w:widowControl/>
              <w:jc w:val="center"/>
              <w:rPr>
                <w:rFonts w:ascii="微软雅黑" w:hAnsi="微软雅黑" w:eastAsia="微软雅黑" w:cs="Arial"/>
                <w:color w:val="FFFFFF"/>
                <w:kern w:val="0"/>
                <w:sz w:val="18"/>
                <w:szCs w:val="18"/>
              </w:rPr>
            </w:pPr>
            <w:r>
              <w:rPr>
                <w:rFonts w:hint="eastAsia" w:ascii="微软雅黑" w:hAnsi="微软雅黑" w:eastAsia="微软雅黑" w:cs="Arial"/>
                <w:color w:val="FFFFFF"/>
                <w:kern w:val="0"/>
                <w:sz w:val="18"/>
                <w:szCs w:val="18"/>
              </w:rPr>
              <w:t>自主创业</w:t>
            </w:r>
          </w:p>
        </w:tc>
      </w:tr>
      <w:tr>
        <w:tblPrEx>
          <w:tblCellMar>
            <w:top w:w="0" w:type="dxa"/>
            <w:left w:w="108" w:type="dxa"/>
            <w:bottom w:w="0" w:type="dxa"/>
            <w:right w:w="108" w:type="dxa"/>
          </w:tblCellMar>
        </w:tblPrEx>
        <w:trPr>
          <w:trHeight w:val="261" w:hRule="atLeast"/>
          <w:jc w:val="center"/>
        </w:trPr>
        <w:tc>
          <w:tcPr>
            <w:tcW w:w="639" w:type="dxa"/>
            <w:vMerge w:val="restart"/>
            <w:tcBorders>
              <w:top w:val="nil"/>
              <w:left w:val="nil"/>
              <w:bottom w:val="single" w:color="000000" w:sz="8" w:space="0"/>
              <w:right w:val="single" w:color="000000" w:sz="8" w:space="0"/>
            </w:tcBorders>
            <w:shd w:val="clear" w:color="auto" w:fill="auto"/>
            <w:noWrap/>
            <w:vAlign w:val="center"/>
          </w:tcPr>
          <w:p>
            <w:pPr>
              <w:widowControl/>
              <w:jc w:val="center"/>
              <w:rPr>
                <w:rFonts w:ascii="微软雅黑" w:hAnsi="微软雅黑" w:eastAsia="微软雅黑" w:cs="Arial"/>
                <w:b/>
                <w:bCs/>
                <w:kern w:val="0"/>
                <w:sz w:val="18"/>
                <w:szCs w:val="18"/>
              </w:rPr>
            </w:pPr>
            <w:r>
              <w:rPr>
                <w:rFonts w:hint="eastAsia" w:ascii="微软雅黑" w:hAnsi="微软雅黑" w:eastAsia="微软雅黑" w:cs="Arial"/>
                <w:b/>
                <w:bCs/>
                <w:kern w:val="0"/>
                <w:sz w:val="18"/>
                <w:szCs w:val="18"/>
              </w:rPr>
              <w:t>本科</w:t>
            </w:r>
          </w:p>
        </w:tc>
        <w:tc>
          <w:tcPr>
            <w:tcW w:w="106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毕业人数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429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726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158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180</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56</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516</w:t>
            </w:r>
          </w:p>
        </w:tc>
        <w:tc>
          <w:tcPr>
            <w:tcW w:w="1013" w:type="dxa"/>
            <w:tcBorders>
              <w:top w:val="nil"/>
              <w:left w:val="nil"/>
              <w:bottom w:val="single" w:color="auto" w:sz="4" w:space="0"/>
              <w:right w:val="nil"/>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2</w:t>
            </w:r>
          </w:p>
        </w:tc>
      </w:tr>
      <w:tr>
        <w:tblPrEx>
          <w:tblCellMar>
            <w:top w:w="0" w:type="dxa"/>
            <w:left w:w="108" w:type="dxa"/>
            <w:bottom w:w="0" w:type="dxa"/>
            <w:right w:w="108" w:type="dxa"/>
          </w:tblCellMar>
        </w:tblPrEx>
        <w:trPr>
          <w:trHeight w:val="261" w:hRule="atLeast"/>
          <w:jc w:val="center"/>
        </w:trPr>
        <w:tc>
          <w:tcPr>
            <w:tcW w:w="639" w:type="dxa"/>
            <w:vMerge w:val="continue"/>
            <w:tcBorders>
              <w:top w:val="nil"/>
              <w:left w:val="nil"/>
              <w:bottom w:val="single" w:color="000000" w:sz="8" w:space="0"/>
              <w:right w:val="single" w:color="000000" w:sz="8" w:space="0"/>
            </w:tcBorders>
            <w:vAlign w:val="center"/>
          </w:tcPr>
          <w:p>
            <w:pPr>
              <w:widowControl/>
              <w:jc w:val="center"/>
              <w:rPr>
                <w:rFonts w:ascii="微软雅黑" w:hAnsi="微软雅黑" w:eastAsia="微软雅黑" w:cs="Arial"/>
                <w:b/>
                <w:bCs/>
                <w:kern w:val="0"/>
                <w:sz w:val="18"/>
                <w:szCs w:val="18"/>
              </w:rPr>
            </w:pPr>
          </w:p>
        </w:tc>
        <w:tc>
          <w:tcPr>
            <w:tcW w:w="1063" w:type="dxa"/>
            <w:vMerge w:val="restart"/>
            <w:tcBorders>
              <w:top w:val="nil"/>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所占比例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20.51</w:t>
            </w:r>
            <w:r>
              <w:rPr>
                <w:rFonts w:hint="eastAsia" w:ascii="微软雅黑" w:hAnsi="微软雅黑" w:eastAsia="微软雅黑" w:cs="Arial"/>
                <w:kern w:val="0"/>
                <w:sz w:val="18"/>
                <w:szCs w:val="18"/>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34.70</w:t>
            </w:r>
            <w:r>
              <w:rPr>
                <w:rFonts w:hint="eastAsia" w:ascii="微软雅黑" w:hAnsi="微软雅黑" w:eastAsia="微软雅黑" w:cs="Arial"/>
                <w:kern w:val="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7.55</w:t>
            </w:r>
            <w:r>
              <w:rPr>
                <w:rFonts w:hint="eastAsia" w:ascii="微软雅黑" w:hAnsi="微软雅黑" w:eastAsia="微软雅黑" w:cs="Arial"/>
                <w:kern w:val="0"/>
                <w:sz w:val="18"/>
                <w:szCs w:val="18"/>
              </w:rPr>
              <w:t>%</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8.60</w:t>
            </w:r>
            <w:r>
              <w:rPr>
                <w:rFonts w:hint="eastAsia" w:ascii="微软雅黑" w:hAnsi="微软雅黑" w:eastAsia="微软雅黑" w:cs="Arial"/>
                <w:kern w:val="0"/>
                <w:sz w:val="18"/>
                <w:szCs w:val="18"/>
              </w:rPr>
              <w:t>%</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2.68</w:t>
            </w:r>
            <w:r>
              <w:rPr>
                <w:rFonts w:hint="eastAsia" w:ascii="微软雅黑" w:hAnsi="微软雅黑" w:eastAsia="微软雅黑" w:cs="Arial"/>
                <w:kern w:val="0"/>
                <w:sz w:val="18"/>
                <w:szCs w:val="18"/>
              </w:rPr>
              <w:t>%</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24.67</w:t>
            </w:r>
            <w:r>
              <w:rPr>
                <w:rFonts w:hint="eastAsia" w:ascii="微软雅黑" w:hAnsi="微软雅黑" w:eastAsia="微软雅黑" w:cs="Arial"/>
                <w:kern w:val="0"/>
                <w:sz w:val="18"/>
                <w:szCs w:val="18"/>
              </w:rPr>
              <w:t>%</w:t>
            </w:r>
          </w:p>
        </w:tc>
        <w:tc>
          <w:tcPr>
            <w:tcW w:w="1013" w:type="dxa"/>
            <w:tcBorders>
              <w:top w:val="nil"/>
              <w:left w:val="nil"/>
              <w:bottom w:val="single" w:color="auto" w:sz="4" w:space="0"/>
              <w:right w:val="nil"/>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0.10</w:t>
            </w:r>
            <w:r>
              <w:rPr>
                <w:rFonts w:hint="eastAsia" w:ascii="微软雅黑" w:hAnsi="微软雅黑" w:eastAsia="微软雅黑" w:cs="Arial"/>
                <w:kern w:val="0"/>
                <w:sz w:val="18"/>
                <w:szCs w:val="18"/>
              </w:rPr>
              <w:t>%</w:t>
            </w:r>
          </w:p>
        </w:tc>
      </w:tr>
      <w:tr>
        <w:tblPrEx>
          <w:tblCellMar>
            <w:top w:w="0" w:type="dxa"/>
            <w:left w:w="108" w:type="dxa"/>
            <w:bottom w:w="0" w:type="dxa"/>
            <w:right w:w="108" w:type="dxa"/>
          </w:tblCellMar>
        </w:tblPrEx>
        <w:trPr>
          <w:trHeight w:val="261" w:hRule="atLeast"/>
          <w:jc w:val="center"/>
        </w:trPr>
        <w:tc>
          <w:tcPr>
            <w:tcW w:w="639" w:type="dxa"/>
            <w:vMerge w:val="continue"/>
            <w:tcBorders>
              <w:top w:val="nil"/>
              <w:left w:val="nil"/>
              <w:bottom w:val="single" w:color="000000" w:sz="8" w:space="0"/>
              <w:right w:val="single" w:color="000000" w:sz="8" w:space="0"/>
            </w:tcBorders>
            <w:vAlign w:val="center"/>
          </w:tcPr>
          <w:p>
            <w:pPr>
              <w:widowControl/>
              <w:jc w:val="center"/>
              <w:rPr>
                <w:rFonts w:ascii="微软雅黑" w:hAnsi="微软雅黑" w:eastAsia="微软雅黑" w:cs="Arial"/>
                <w:b/>
                <w:bCs/>
                <w:kern w:val="0"/>
                <w:sz w:val="18"/>
                <w:szCs w:val="18"/>
              </w:rPr>
            </w:pPr>
          </w:p>
        </w:tc>
        <w:tc>
          <w:tcPr>
            <w:tcW w:w="1063" w:type="dxa"/>
            <w:vMerge w:val="continue"/>
            <w:tcBorders>
              <w:top w:val="nil"/>
              <w:left w:val="nil"/>
              <w:bottom w:val="single" w:color="000000" w:sz="8" w:space="0"/>
              <w:right w:val="single" w:color="auto" w:sz="4" w:space="0"/>
            </w:tcBorders>
            <w:vAlign w:val="center"/>
          </w:tcPr>
          <w:p>
            <w:pPr>
              <w:widowControl/>
              <w:jc w:val="center"/>
              <w:rPr>
                <w:rFonts w:ascii="微软雅黑" w:hAnsi="微软雅黑" w:eastAsia="微软雅黑" w:cs="Arial"/>
                <w:kern w:val="0"/>
                <w:sz w:val="18"/>
                <w:szCs w:val="18"/>
              </w:rPr>
            </w:pPr>
          </w:p>
        </w:tc>
        <w:tc>
          <w:tcPr>
            <w:tcW w:w="2126" w:type="dxa"/>
            <w:gridSpan w:val="2"/>
            <w:tcBorders>
              <w:top w:val="single" w:color="auto" w:sz="4" w:space="0"/>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55.21</w:t>
            </w:r>
            <w:r>
              <w:rPr>
                <w:rFonts w:hint="eastAsia" w:ascii="微软雅黑" w:hAnsi="微软雅黑" w:eastAsia="微软雅黑" w:cs="Arial"/>
                <w:b/>
                <w:bCs/>
                <w:kern w:val="0"/>
                <w:sz w:val="18"/>
                <w:szCs w:val="18"/>
              </w:rPr>
              <w:t>%</w:t>
            </w:r>
          </w:p>
        </w:tc>
        <w:tc>
          <w:tcPr>
            <w:tcW w:w="993" w:type="dxa"/>
            <w:tcBorders>
              <w:top w:val="nil"/>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7.55</w:t>
            </w:r>
            <w:r>
              <w:rPr>
                <w:rFonts w:hint="eastAsia" w:ascii="微软雅黑" w:hAnsi="微软雅黑" w:eastAsia="微软雅黑" w:cs="Arial"/>
                <w:b/>
                <w:bCs/>
                <w:kern w:val="0"/>
                <w:sz w:val="18"/>
                <w:szCs w:val="18"/>
              </w:rPr>
              <w:t>%</w:t>
            </w:r>
          </w:p>
        </w:tc>
        <w:tc>
          <w:tcPr>
            <w:tcW w:w="3639" w:type="dxa"/>
            <w:gridSpan w:val="3"/>
            <w:tcBorders>
              <w:top w:val="single" w:color="auto" w:sz="4" w:space="0"/>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35.95</w:t>
            </w:r>
            <w:r>
              <w:rPr>
                <w:rFonts w:hint="eastAsia" w:ascii="微软雅黑" w:hAnsi="微软雅黑" w:eastAsia="微软雅黑" w:cs="Arial"/>
                <w:b/>
                <w:bCs/>
                <w:kern w:val="0"/>
                <w:sz w:val="18"/>
                <w:szCs w:val="18"/>
              </w:rPr>
              <w:t>%</w:t>
            </w:r>
          </w:p>
        </w:tc>
        <w:tc>
          <w:tcPr>
            <w:tcW w:w="1013" w:type="dxa"/>
            <w:tcBorders>
              <w:top w:val="nil"/>
              <w:left w:val="nil"/>
              <w:bottom w:val="single" w:color="000000" w:sz="8" w:space="0"/>
              <w:right w:val="nil"/>
            </w:tcBorders>
            <w:shd w:val="clear" w:color="auto" w:fill="auto"/>
            <w:noWrap/>
            <w:vAlign w:val="center"/>
          </w:tcPr>
          <w:p>
            <w:pPr>
              <w:widowControl/>
              <w:jc w:val="center"/>
              <w:rPr>
                <w:rFonts w:ascii="微软雅黑" w:hAnsi="微软雅黑" w:eastAsia="微软雅黑" w:cs="Arial"/>
                <w:b/>
                <w:bCs/>
                <w:kern w:val="0"/>
                <w:sz w:val="18"/>
                <w:szCs w:val="18"/>
              </w:rPr>
            </w:pPr>
            <w:r>
              <w:rPr>
                <w:rFonts w:hint="eastAsia" w:ascii="微软雅黑" w:hAnsi="微软雅黑" w:eastAsia="微软雅黑" w:cs="Arial"/>
                <w:b/>
                <w:bCs/>
                <w:kern w:val="0"/>
                <w:sz w:val="18"/>
                <w:szCs w:val="18"/>
              </w:rPr>
              <w:t>0.</w:t>
            </w:r>
            <w:r>
              <w:rPr>
                <w:rFonts w:ascii="微软雅黑" w:hAnsi="微软雅黑" w:eastAsia="微软雅黑" w:cs="Arial"/>
                <w:b/>
                <w:bCs/>
                <w:kern w:val="0"/>
                <w:sz w:val="18"/>
                <w:szCs w:val="18"/>
              </w:rPr>
              <w:t>10</w:t>
            </w:r>
            <w:r>
              <w:rPr>
                <w:rFonts w:hint="eastAsia" w:ascii="微软雅黑" w:hAnsi="微软雅黑" w:eastAsia="微软雅黑" w:cs="Arial"/>
                <w:b/>
                <w:bCs/>
                <w:kern w:val="0"/>
                <w:sz w:val="18"/>
                <w:szCs w:val="18"/>
              </w:rPr>
              <w:t>%</w:t>
            </w:r>
          </w:p>
        </w:tc>
      </w:tr>
      <w:tr>
        <w:tblPrEx>
          <w:tblCellMar>
            <w:top w:w="0" w:type="dxa"/>
            <w:left w:w="108" w:type="dxa"/>
            <w:bottom w:w="0" w:type="dxa"/>
            <w:right w:w="108" w:type="dxa"/>
          </w:tblCellMar>
        </w:tblPrEx>
        <w:trPr>
          <w:trHeight w:val="261" w:hRule="atLeast"/>
          <w:jc w:val="center"/>
        </w:trPr>
        <w:tc>
          <w:tcPr>
            <w:tcW w:w="639" w:type="dxa"/>
            <w:vMerge w:val="restart"/>
            <w:tcBorders>
              <w:top w:val="nil"/>
              <w:left w:val="nil"/>
              <w:bottom w:val="single" w:color="000000" w:sz="8" w:space="0"/>
              <w:right w:val="single" w:color="000000" w:sz="8" w:space="0"/>
            </w:tcBorders>
            <w:shd w:val="clear" w:color="auto" w:fill="auto"/>
            <w:noWrap/>
            <w:vAlign w:val="center"/>
          </w:tcPr>
          <w:p>
            <w:pPr>
              <w:widowControl/>
              <w:jc w:val="center"/>
              <w:rPr>
                <w:rFonts w:ascii="微软雅黑" w:hAnsi="微软雅黑" w:eastAsia="微软雅黑" w:cs="Arial"/>
                <w:b/>
                <w:bCs/>
                <w:kern w:val="0"/>
                <w:sz w:val="18"/>
                <w:szCs w:val="18"/>
              </w:rPr>
            </w:pPr>
            <w:r>
              <w:rPr>
                <w:rFonts w:hint="eastAsia" w:ascii="微软雅黑" w:hAnsi="微软雅黑" w:eastAsia="微软雅黑" w:cs="Arial"/>
                <w:b/>
                <w:bCs/>
                <w:kern w:val="0"/>
                <w:sz w:val="18"/>
                <w:szCs w:val="18"/>
              </w:rPr>
              <w:t>硕士</w:t>
            </w:r>
          </w:p>
        </w:tc>
        <w:tc>
          <w:tcPr>
            <w:tcW w:w="106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毕业人数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66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850</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379</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429</w:t>
            </w:r>
          </w:p>
        </w:tc>
        <w:tc>
          <w:tcPr>
            <w:tcW w:w="1013" w:type="dxa"/>
            <w:tcBorders>
              <w:top w:val="nil"/>
              <w:left w:val="nil"/>
              <w:bottom w:val="single" w:color="auto" w:sz="4" w:space="0"/>
              <w:right w:val="nil"/>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9</w:t>
            </w:r>
          </w:p>
        </w:tc>
      </w:tr>
      <w:tr>
        <w:tblPrEx>
          <w:tblCellMar>
            <w:top w:w="0" w:type="dxa"/>
            <w:left w:w="108" w:type="dxa"/>
            <w:bottom w:w="0" w:type="dxa"/>
            <w:right w:w="108" w:type="dxa"/>
          </w:tblCellMar>
        </w:tblPrEx>
        <w:trPr>
          <w:trHeight w:val="261" w:hRule="atLeast"/>
          <w:jc w:val="center"/>
        </w:trPr>
        <w:tc>
          <w:tcPr>
            <w:tcW w:w="639" w:type="dxa"/>
            <w:vMerge w:val="continue"/>
            <w:tcBorders>
              <w:top w:val="nil"/>
              <w:left w:val="nil"/>
              <w:bottom w:val="single" w:color="000000" w:sz="8" w:space="0"/>
              <w:right w:val="single" w:color="000000" w:sz="8" w:space="0"/>
            </w:tcBorders>
            <w:vAlign w:val="center"/>
          </w:tcPr>
          <w:p>
            <w:pPr>
              <w:widowControl/>
              <w:jc w:val="center"/>
              <w:rPr>
                <w:rFonts w:ascii="微软雅黑" w:hAnsi="微软雅黑" w:eastAsia="微软雅黑" w:cs="Arial"/>
                <w:b/>
                <w:bCs/>
                <w:kern w:val="0"/>
                <w:sz w:val="18"/>
                <w:szCs w:val="18"/>
              </w:rPr>
            </w:pPr>
          </w:p>
        </w:tc>
        <w:tc>
          <w:tcPr>
            <w:tcW w:w="1063" w:type="dxa"/>
            <w:vMerge w:val="restart"/>
            <w:tcBorders>
              <w:top w:val="nil"/>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所占比例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3.61</w:t>
            </w:r>
            <w:r>
              <w:rPr>
                <w:rFonts w:hint="eastAsia" w:ascii="微软雅黑" w:hAnsi="微软雅黑" w:eastAsia="微软雅黑" w:cs="Arial"/>
                <w:kern w:val="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2.</w:t>
            </w:r>
            <w:r>
              <w:rPr>
                <w:rFonts w:ascii="微软雅黑" w:hAnsi="微软雅黑" w:eastAsia="微软雅黑" w:cs="Arial"/>
                <w:kern w:val="0"/>
                <w:sz w:val="18"/>
                <w:szCs w:val="18"/>
              </w:rPr>
              <w:t>63</w:t>
            </w:r>
            <w:r>
              <w:rPr>
                <w:rFonts w:hint="eastAsia" w:ascii="微软雅黑" w:hAnsi="微软雅黑" w:eastAsia="微软雅黑" w:cs="Arial"/>
                <w:kern w:val="0"/>
                <w:sz w:val="18"/>
                <w:szCs w:val="18"/>
              </w:rPr>
              <w:t>%</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46.55</w:t>
            </w:r>
            <w:r>
              <w:rPr>
                <w:rFonts w:hint="eastAsia" w:ascii="微软雅黑" w:hAnsi="微软雅黑" w:eastAsia="微软雅黑" w:cs="Arial"/>
                <w:kern w:val="0"/>
                <w:sz w:val="18"/>
                <w:szCs w:val="18"/>
              </w:rPr>
              <w:t>%</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20.76</w:t>
            </w:r>
            <w:r>
              <w:rPr>
                <w:rFonts w:hint="eastAsia" w:ascii="微软雅黑" w:hAnsi="微软雅黑" w:eastAsia="微软雅黑" w:cs="Arial"/>
                <w:kern w:val="0"/>
                <w:sz w:val="18"/>
                <w:szCs w:val="18"/>
              </w:rPr>
              <w:t>%</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23.49</w:t>
            </w:r>
            <w:r>
              <w:rPr>
                <w:rFonts w:hint="eastAsia" w:ascii="微软雅黑" w:hAnsi="微软雅黑" w:eastAsia="微软雅黑" w:cs="Arial"/>
                <w:kern w:val="0"/>
                <w:sz w:val="18"/>
                <w:szCs w:val="18"/>
              </w:rPr>
              <w:t>%</w:t>
            </w:r>
          </w:p>
        </w:tc>
        <w:tc>
          <w:tcPr>
            <w:tcW w:w="1013" w:type="dxa"/>
            <w:tcBorders>
              <w:top w:val="nil"/>
              <w:left w:val="nil"/>
              <w:bottom w:val="single" w:color="auto" w:sz="4" w:space="0"/>
              <w:right w:val="nil"/>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0.49</w:t>
            </w:r>
            <w:r>
              <w:rPr>
                <w:rFonts w:hint="eastAsia" w:ascii="微软雅黑" w:hAnsi="微软雅黑" w:eastAsia="微软雅黑" w:cs="Arial"/>
                <w:kern w:val="0"/>
                <w:sz w:val="18"/>
                <w:szCs w:val="18"/>
              </w:rPr>
              <w:t>%</w:t>
            </w:r>
          </w:p>
        </w:tc>
      </w:tr>
      <w:tr>
        <w:tblPrEx>
          <w:tblCellMar>
            <w:top w:w="0" w:type="dxa"/>
            <w:left w:w="108" w:type="dxa"/>
            <w:bottom w:w="0" w:type="dxa"/>
            <w:right w:w="108" w:type="dxa"/>
          </w:tblCellMar>
        </w:tblPrEx>
        <w:trPr>
          <w:trHeight w:val="261" w:hRule="atLeast"/>
          <w:jc w:val="center"/>
        </w:trPr>
        <w:tc>
          <w:tcPr>
            <w:tcW w:w="639" w:type="dxa"/>
            <w:vMerge w:val="continue"/>
            <w:tcBorders>
              <w:top w:val="nil"/>
              <w:left w:val="nil"/>
              <w:bottom w:val="single" w:color="000000" w:sz="8" w:space="0"/>
              <w:right w:val="single" w:color="000000" w:sz="8" w:space="0"/>
            </w:tcBorders>
            <w:vAlign w:val="center"/>
          </w:tcPr>
          <w:p>
            <w:pPr>
              <w:widowControl/>
              <w:jc w:val="center"/>
              <w:rPr>
                <w:rFonts w:ascii="微软雅黑" w:hAnsi="微软雅黑" w:eastAsia="微软雅黑" w:cs="Arial"/>
                <w:b/>
                <w:bCs/>
                <w:kern w:val="0"/>
                <w:sz w:val="18"/>
                <w:szCs w:val="18"/>
              </w:rPr>
            </w:pPr>
          </w:p>
        </w:tc>
        <w:tc>
          <w:tcPr>
            <w:tcW w:w="1063" w:type="dxa"/>
            <w:vMerge w:val="continue"/>
            <w:tcBorders>
              <w:top w:val="nil"/>
              <w:left w:val="nil"/>
              <w:bottom w:val="single" w:color="000000" w:sz="8" w:space="0"/>
              <w:right w:val="single" w:color="auto" w:sz="4" w:space="0"/>
            </w:tcBorders>
            <w:vAlign w:val="center"/>
          </w:tcPr>
          <w:p>
            <w:pPr>
              <w:widowControl/>
              <w:jc w:val="center"/>
              <w:rPr>
                <w:rFonts w:ascii="微软雅黑" w:hAnsi="微软雅黑" w:eastAsia="微软雅黑" w:cs="Arial"/>
                <w:kern w:val="0"/>
                <w:sz w:val="18"/>
                <w:szCs w:val="18"/>
              </w:rPr>
            </w:pPr>
          </w:p>
        </w:tc>
        <w:tc>
          <w:tcPr>
            <w:tcW w:w="2126" w:type="dxa"/>
            <w:gridSpan w:val="2"/>
            <w:tcBorders>
              <w:top w:val="single" w:color="auto" w:sz="4" w:space="0"/>
              <w:left w:val="nil"/>
              <w:bottom w:val="single" w:color="000000" w:sz="8" w:space="0"/>
              <w:right w:val="single" w:color="000000"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3.61</w:t>
            </w:r>
            <w:r>
              <w:rPr>
                <w:rFonts w:hint="eastAsia" w:ascii="微软雅黑" w:hAnsi="微软雅黑" w:eastAsia="微软雅黑" w:cs="Arial"/>
                <w:b/>
                <w:bCs/>
                <w:kern w:val="0"/>
                <w:sz w:val="18"/>
                <w:szCs w:val="18"/>
              </w:rPr>
              <w:t>%</w:t>
            </w:r>
          </w:p>
        </w:tc>
        <w:tc>
          <w:tcPr>
            <w:tcW w:w="993" w:type="dxa"/>
            <w:tcBorders>
              <w:top w:val="nil"/>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hint="eastAsia" w:ascii="微软雅黑" w:hAnsi="微软雅黑" w:eastAsia="微软雅黑" w:cs="Arial"/>
                <w:b/>
                <w:bCs/>
                <w:kern w:val="0"/>
                <w:sz w:val="18"/>
                <w:szCs w:val="18"/>
              </w:rPr>
              <w:t>2.</w:t>
            </w:r>
            <w:r>
              <w:rPr>
                <w:rFonts w:ascii="微软雅黑" w:hAnsi="微软雅黑" w:eastAsia="微软雅黑" w:cs="Arial"/>
                <w:b/>
                <w:bCs/>
                <w:kern w:val="0"/>
                <w:sz w:val="18"/>
                <w:szCs w:val="18"/>
              </w:rPr>
              <w:t>63</w:t>
            </w:r>
            <w:r>
              <w:rPr>
                <w:rFonts w:hint="eastAsia" w:ascii="微软雅黑" w:hAnsi="微软雅黑" w:eastAsia="微软雅黑" w:cs="Arial"/>
                <w:b/>
                <w:bCs/>
                <w:kern w:val="0"/>
                <w:sz w:val="18"/>
                <w:szCs w:val="18"/>
              </w:rPr>
              <w:t>%</w:t>
            </w:r>
          </w:p>
        </w:tc>
        <w:tc>
          <w:tcPr>
            <w:tcW w:w="3639" w:type="dxa"/>
            <w:gridSpan w:val="3"/>
            <w:tcBorders>
              <w:top w:val="single" w:color="auto" w:sz="4" w:space="0"/>
              <w:left w:val="nil"/>
              <w:bottom w:val="single" w:color="000000" w:sz="8" w:space="0"/>
              <w:right w:val="nil"/>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90.80</w:t>
            </w:r>
            <w:r>
              <w:rPr>
                <w:rFonts w:hint="eastAsia" w:ascii="微软雅黑" w:hAnsi="微软雅黑" w:eastAsia="微软雅黑" w:cs="Arial"/>
                <w:b/>
                <w:bCs/>
                <w:kern w:val="0"/>
                <w:sz w:val="18"/>
                <w:szCs w:val="18"/>
              </w:rPr>
              <w:t>%</w:t>
            </w:r>
          </w:p>
        </w:tc>
        <w:tc>
          <w:tcPr>
            <w:tcW w:w="1013" w:type="dxa"/>
            <w:tcBorders>
              <w:top w:val="nil"/>
              <w:left w:val="single" w:color="auto" w:sz="4" w:space="0"/>
              <w:bottom w:val="single" w:color="000000" w:sz="8" w:space="0"/>
              <w:right w:val="nil"/>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0.49</w:t>
            </w:r>
            <w:r>
              <w:rPr>
                <w:rFonts w:hint="eastAsia" w:ascii="微软雅黑" w:hAnsi="微软雅黑" w:eastAsia="微软雅黑" w:cs="Arial"/>
                <w:b/>
                <w:bCs/>
                <w:kern w:val="0"/>
                <w:sz w:val="18"/>
                <w:szCs w:val="18"/>
              </w:rPr>
              <w:t>%</w:t>
            </w:r>
          </w:p>
        </w:tc>
      </w:tr>
      <w:tr>
        <w:tblPrEx>
          <w:tblCellMar>
            <w:top w:w="0" w:type="dxa"/>
            <w:left w:w="108" w:type="dxa"/>
            <w:bottom w:w="0" w:type="dxa"/>
            <w:right w:w="108" w:type="dxa"/>
          </w:tblCellMar>
        </w:tblPrEx>
        <w:trPr>
          <w:trHeight w:val="261" w:hRule="atLeast"/>
          <w:jc w:val="center"/>
        </w:trPr>
        <w:tc>
          <w:tcPr>
            <w:tcW w:w="639" w:type="dxa"/>
            <w:vMerge w:val="restart"/>
            <w:tcBorders>
              <w:top w:val="nil"/>
              <w:left w:val="nil"/>
              <w:bottom w:val="single" w:color="000000" w:sz="8" w:space="0"/>
              <w:right w:val="single" w:color="000000" w:sz="8" w:space="0"/>
            </w:tcBorders>
            <w:shd w:val="clear" w:color="auto" w:fill="auto"/>
            <w:noWrap/>
            <w:vAlign w:val="center"/>
          </w:tcPr>
          <w:p>
            <w:pPr>
              <w:widowControl/>
              <w:jc w:val="center"/>
              <w:rPr>
                <w:rFonts w:ascii="微软雅黑" w:hAnsi="微软雅黑" w:eastAsia="微软雅黑" w:cs="Arial"/>
                <w:b/>
                <w:bCs/>
                <w:kern w:val="0"/>
                <w:sz w:val="18"/>
                <w:szCs w:val="18"/>
              </w:rPr>
            </w:pPr>
            <w:r>
              <w:rPr>
                <w:rFonts w:hint="eastAsia" w:ascii="微软雅黑" w:hAnsi="微软雅黑" w:eastAsia="微软雅黑" w:cs="Arial"/>
                <w:b/>
                <w:bCs/>
                <w:kern w:val="0"/>
                <w:sz w:val="18"/>
                <w:szCs w:val="18"/>
              </w:rPr>
              <w:t>博士</w:t>
            </w:r>
          </w:p>
        </w:tc>
        <w:tc>
          <w:tcPr>
            <w:tcW w:w="106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毕业人数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14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102</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13</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12</w:t>
            </w:r>
          </w:p>
        </w:tc>
        <w:tc>
          <w:tcPr>
            <w:tcW w:w="1013" w:type="dxa"/>
            <w:tcBorders>
              <w:top w:val="nil"/>
              <w:left w:val="nil"/>
              <w:bottom w:val="single" w:color="auto" w:sz="4" w:space="0"/>
              <w:right w:val="nil"/>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0</w:t>
            </w:r>
          </w:p>
        </w:tc>
      </w:tr>
      <w:tr>
        <w:tblPrEx>
          <w:tblCellMar>
            <w:top w:w="0" w:type="dxa"/>
            <w:left w:w="108" w:type="dxa"/>
            <w:bottom w:w="0" w:type="dxa"/>
            <w:right w:w="108" w:type="dxa"/>
          </w:tblCellMar>
        </w:tblPrEx>
        <w:trPr>
          <w:trHeight w:val="261" w:hRule="atLeast"/>
          <w:jc w:val="center"/>
        </w:trPr>
        <w:tc>
          <w:tcPr>
            <w:tcW w:w="639" w:type="dxa"/>
            <w:vMerge w:val="continue"/>
            <w:tcBorders>
              <w:top w:val="nil"/>
              <w:left w:val="nil"/>
              <w:bottom w:val="single" w:color="000000" w:sz="8" w:space="0"/>
              <w:right w:val="single" w:color="000000" w:sz="8" w:space="0"/>
            </w:tcBorders>
            <w:vAlign w:val="center"/>
          </w:tcPr>
          <w:p>
            <w:pPr>
              <w:widowControl/>
              <w:jc w:val="center"/>
              <w:rPr>
                <w:rFonts w:ascii="微软雅黑" w:hAnsi="微软雅黑" w:eastAsia="微软雅黑" w:cs="Arial"/>
                <w:b/>
                <w:bCs/>
                <w:kern w:val="0"/>
                <w:sz w:val="18"/>
                <w:szCs w:val="18"/>
              </w:rPr>
            </w:pPr>
          </w:p>
        </w:tc>
        <w:tc>
          <w:tcPr>
            <w:tcW w:w="1063" w:type="dxa"/>
            <w:vMerge w:val="restart"/>
            <w:tcBorders>
              <w:top w:val="nil"/>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所占比例</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9.66</w:t>
            </w:r>
            <w:r>
              <w:rPr>
                <w:rFonts w:hint="eastAsia" w:ascii="微软雅黑" w:hAnsi="微软雅黑" w:eastAsia="微软雅黑" w:cs="Arial"/>
                <w:kern w:val="0"/>
                <w:sz w:val="18"/>
                <w:szCs w:val="18"/>
              </w:rPr>
              <w:t>%</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0.00</w:t>
            </w:r>
            <w:r>
              <w:rPr>
                <w:rFonts w:hint="eastAsia" w:ascii="微软雅黑" w:hAnsi="微软雅黑" w:eastAsia="微软雅黑" w:cs="Arial"/>
                <w:kern w:val="0"/>
                <w:sz w:val="18"/>
                <w:szCs w:val="18"/>
              </w:rPr>
              <w:t>%</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70.34</w:t>
            </w:r>
            <w:r>
              <w:rPr>
                <w:rFonts w:hint="eastAsia" w:ascii="微软雅黑" w:hAnsi="微软雅黑" w:eastAsia="微软雅黑" w:cs="Arial"/>
                <w:kern w:val="0"/>
                <w:sz w:val="18"/>
                <w:szCs w:val="18"/>
              </w:rPr>
              <w:t>%</w:t>
            </w:r>
          </w:p>
        </w:tc>
        <w:tc>
          <w:tcPr>
            <w:tcW w:w="1209"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8.97</w:t>
            </w:r>
            <w:r>
              <w:rPr>
                <w:rFonts w:hint="eastAsia" w:ascii="微软雅黑" w:hAnsi="微软雅黑" w:eastAsia="微软雅黑" w:cs="Arial"/>
                <w:kern w:val="0"/>
                <w:sz w:val="18"/>
                <w:szCs w:val="18"/>
              </w:rPr>
              <w:t>%</w:t>
            </w: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Arial"/>
                <w:kern w:val="0"/>
                <w:sz w:val="18"/>
                <w:szCs w:val="18"/>
              </w:rPr>
            </w:pPr>
            <w:r>
              <w:rPr>
                <w:rFonts w:ascii="微软雅黑" w:hAnsi="微软雅黑" w:eastAsia="微软雅黑" w:cs="Arial"/>
                <w:kern w:val="0"/>
                <w:sz w:val="18"/>
                <w:szCs w:val="18"/>
              </w:rPr>
              <w:t>8.28</w:t>
            </w:r>
            <w:r>
              <w:rPr>
                <w:rFonts w:hint="eastAsia" w:ascii="微软雅黑" w:hAnsi="微软雅黑" w:eastAsia="微软雅黑" w:cs="Arial"/>
                <w:kern w:val="0"/>
                <w:sz w:val="18"/>
                <w:szCs w:val="18"/>
              </w:rPr>
              <w:t>%</w:t>
            </w:r>
          </w:p>
        </w:tc>
        <w:tc>
          <w:tcPr>
            <w:tcW w:w="1013" w:type="dxa"/>
            <w:tcBorders>
              <w:top w:val="nil"/>
              <w:left w:val="nil"/>
              <w:bottom w:val="single" w:color="auto" w:sz="4" w:space="0"/>
              <w:right w:val="nil"/>
            </w:tcBorders>
            <w:shd w:val="clear" w:color="auto" w:fill="auto"/>
            <w:noWrap/>
            <w:vAlign w:val="center"/>
          </w:tcPr>
          <w:p>
            <w:pPr>
              <w:widowControl/>
              <w:jc w:val="center"/>
              <w:rPr>
                <w:rFonts w:ascii="微软雅黑" w:hAnsi="微软雅黑" w:eastAsia="微软雅黑" w:cs="Arial"/>
                <w:kern w:val="0"/>
                <w:sz w:val="18"/>
                <w:szCs w:val="18"/>
              </w:rPr>
            </w:pPr>
            <w:r>
              <w:rPr>
                <w:rFonts w:hint="eastAsia" w:ascii="微软雅黑" w:hAnsi="微软雅黑" w:eastAsia="微软雅黑" w:cs="Arial"/>
                <w:kern w:val="0"/>
                <w:sz w:val="18"/>
                <w:szCs w:val="18"/>
              </w:rPr>
              <w:t>0.00%</w:t>
            </w:r>
          </w:p>
        </w:tc>
      </w:tr>
      <w:tr>
        <w:tblPrEx>
          <w:tblCellMar>
            <w:top w:w="0" w:type="dxa"/>
            <w:left w:w="108" w:type="dxa"/>
            <w:bottom w:w="0" w:type="dxa"/>
            <w:right w:w="108" w:type="dxa"/>
          </w:tblCellMar>
        </w:tblPrEx>
        <w:trPr>
          <w:trHeight w:val="261" w:hRule="atLeast"/>
          <w:jc w:val="center"/>
        </w:trPr>
        <w:tc>
          <w:tcPr>
            <w:tcW w:w="639" w:type="dxa"/>
            <w:vMerge w:val="continue"/>
            <w:tcBorders>
              <w:top w:val="nil"/>
              <w:left w:val="nil"/>
              <w:bottom w:val="single" w:color="000000" w:sz="8" w:space="0"/>
              <w:right w:val="single" w:color="000000" w:sz="8" w:space="0"/>
            </w:tcBorders>
            <w:vAlign w:val="center"/>
          </w:tcPr>
          <w:p>
            <w:pPr>
              <w:widowControl/>
              <w:jc w:val="center"/>
              <w:rPr>
                <w:rFonts w:ascii="微软雅黑" w:hAnsi="微软雅黑" w:eastAsia="微软雅黑" w:cs="Arial"/>
                <w:b/>
                <w:bCs/>
                <w:kern w:val="0"/>
                <w:sz w:val="18"/>
                <w:szCs w:val="18"/>
              </w:rPr>
            </w:pPr>
          </w:p>
        </w:tc>
        <w:tc>
          <w:tcPr>
            <w:tcW w:w="1063" w:type="dxa"/>
            <w:vMerge w:val="continue"/>
            <w:tcBorders>
              <w:top w:val="nil"/>
              <w:left w:val="nil"/>
              <w:bottom w:val="single" w:color="000000" w:sz="8" w:space="0"/>
              <w:right w:val="single" w:color="auto" w:sz="4" w:space="0"/>
            </w:tcBorders>
            <w:vAlign w:val="center"/>
          </w:tcPr>
          <w:p>
            <w:pPr>
              <w:widowControl/>
              <w:jc w:val="center"/>
              <w:rPr>
                <w:rFonts w:ascii="微软雅黑" w:hAnsi="微软雅黑" w:eastAsia="微软雅黑" w:cs="Arial"/>
                <w:kern w:val="0"/>
                <w:sz w:val="18"/>
                <w:szCs w:val="18"/>
              </w:rPr>
            </w:pPr>
          </w:p>
        </w:tc>
        <w:tc>
          <w:tcPr>
            <w:tcW w:w="2126" w:type="dxa"/>
            <w:gridSpan w:val="2"/>
            <w:tcBorders>
              <w:top w:val="single" w:color="auto" w:sz="4" w:space="0"/>
              <w:left w:val="nil"/>
              <w:bottom w:val="single" w:color="000000" w:sz="8" w:space="0"/>
              <w:right w:val="single" w:color="000000"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9.66</w:t>
            </w:r>
            <w:r>
              <w:rPr>
                <w:rFonts w:hint="eastAsia" w:ascii="微软雅黑" w:hAnsi="微软雅黑" w:eastAsia="微软雅黑" w:cs="Arial"/>
                <w:b/>
                <w:bCs/>
                <w:kern w:val="0"/>
                <w:sz w:val="18"/>
                <w:szCs w:val="18"/>
              </w:rPr>
              <w:t>%</w:t>
            </w:r>
          </w:p>
        </w:tc>
        <w:tc>
          <w:tcPr>
            <w:tcW w:w="993" w:type="dxa"/>
            <w:tcBorders>
              <w:top w:val="nil"/>
              <w:left w:val="nil"/>
              <w:bottom w:val="single" w:color="000000" w:sz="8" w:space="0"/>
              <w:right w:val="single" w:color="auto"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0.00</w:t>
            </w:r>
            <w:r>
              <w:rPr>
                <w:rFonts w:hint="eastAsia" w:ascii="微软雅黑" w:hAnsi="微软雅黑" w:eastAsia="微软雅黑" w:cs="Arial"/>
                <w:b/>
                <w:bCs/>
                <w:kern w:val="0"/>
                <w:sz w:val="18"/>
                <w:szCs w:val="18"/>
              </w:rPr>
              <w:t>%</w:t>
            </w:r>
          </w:p>
        </w:tc>
        <w:tc>
          <w:tcPr>
            <w:tcW w:w="3639" w:type="dxa"/>
            <w:gridSpan w:val="3"/>
            <w:tcBorders>
              <w:top w:val="single" w:color="auto" w:sz="4" w:space="0"/>
              <w:left w:val="nil"/>
              <w:bottom w:val="single" w:color="000000" w:sz="8" w:space="0"/>
              <w:right w:val="single" w:color="000000" w:sz="4" w:space="0"/>
            </w:tcBorders>
            <w:shd w:val="clear" w:color="auto" w:fill="auto"/>
            <w:noWrap/>
            <w:vAlign w:val="center"/>
          </w:tcPr>
          <w:p>
            <w:pPr>
              <w:widowControl/>
              <w:jc w:val="center"/>
              <w:rPr>
                <w:rFonts w:ascii="微软雅黑" w:hAnsi="微软雅黑" w:eastAsia="微软雅黑" w:cs="Arial"/>
                <w:b/>
                <w:bCs/>
                <w:kern w:val="0"/>
                <w:sz w:val="18"/>
                <w:szCs w:val="18"/>
              </w:rPr>
            </w:pPr>
            <w:r>
              <w:rPr>
                <w:rFonts w:ascii="微软雅黑" w:hAnsi="微软雅黑" w:eastAsia="微软雅黑" w:cs="Arial"/>
                <w:b/>
                <w:bCs/>
                <w:kern w:val="0"/>
                <w:sz w:val="18"/>
                <w:szCs w:val="18"/>
              </w:rPr>
              <w:t>87.59</w:t>
            </w:r>
            <w:r>
              <w:rPr>
                <w:rFonts w:hint="eastAsia" w:ascii="微软雅黑" w:hAnsi="微软雅黑" w:eastAsia="微软雅黑" w:cs="Arial"/>
                <w:b/>
                <w:bCs/>
                <w:kern w:val="0"/>
                <w:sz w:val="18"/>
                <w:szCs w:val="18"/>
              </w:rPr>
              <w:t>%</w:t>
            </w:r>
          </w:p>
        </w:tc>
        <w:tc>
          <w:tcPr>
            <w:tcW w:w="1013" w:type="dxa"/>
            <w:tcBorders>
              <w:top w:val="nil"/>
              <w:left w:val="nil"/>
              <w:bottom w:val="single" w:color="000000" w:sz="8" w:space="0"/>
              <w:right w:val="nil"/>
            </w:tcBorders>
            <w:shd w:val="clear" w:color="auto" w:fill="auto"/>
            <w:noWrap/>
            <w:vAlign w:val="center"/>
          </w:tcPr>
          <w:p>
            <w:pPr>
              <w:widowControl/>
              <w:jc w:val="center"/>
              <w:rPr>
                <w:rFonts w:ascii="微软雅黑" w:hAnsi="微软雅黑" w:eastAsia="微软雅黑" w:cs="Arial"/>
                <w:b/>
                <w:bCs/>
                <w:kern w:val="0"/>
                <w:sz w:val="18"/>
                <w:szCs w:val="18"/>
              </w:rPr>
            </w:pPr>
            <w:r>
              <w:rPr>
                <w:rFonts w:hint="eastAsia" w:ascii="微软雅黑" w:hAnsi="微软雅黑" w:eastAsia="微软雅黑" w:cs="Arial"/>
                <w:b/>
                <w:bCs/>
                <w:kern w:val="0"/>
                <w:sz w:val="18"/>
                <w:szCs w:val="18"/>
              </w:rPr>
              <w:t>0.00%</w:t>
            </w:r>
          </w:p>
        </w:tc>
      </w:tr>
    </w:tbl>
    <w:p>
      <w:pPr>
        <w:ind w:right="-766" w:rightChars="-319"/>
        <w:jc w:val="center"/>
        <w:rPr>
          <w:rFonts w:ascii="Calibri" w:hAnsi="Calibri" w:eastAsia="宋体" w:cs="Times New Roman"/>
        </w:rPr>
      </w:pPr>
    </w:p>
    <w:p>
      <w:pPr>
        <w:pStyle w:val="7"/>
        <w:spacing w:before="156" w:after="156"/>
        <w:ind w:left="120"/>
      </w:pPr>
      <w:bookmarkStart w:id="24" w:name="_Toc13935"/>
      <w:r>
        <w:rPr>
          <w:rFonts w:hint="eastAsia"/>
        </w:rPr>
        <w:t>（四）就业去向多元化，就业质量有所提升</w:t>
      </w:r>
      <w:bookmarkEnd w:id="24"/>
    </w:p>
    <w:p>
      <w:pPr>
        <w:pStyle w:val="9"/>
        <w:ind w:firstLine="480"/>
        <w:rPr>
          <w:rFonts w:ascii="宋体" w:hAnsi="宋体" w:cs="Times New Roman"/>
        </w:rPr>
      </w:pPr>
      <w:r>
        <w:rPr>
          <w:rFonts w:hint="eastAsia" w:ascii="宋体" w:hAnsi="宋体" w:cs="Times New Roman"/>
        </w:rPr>
        <w:t>毕业生积极到西部和基层工作。依据北京市教委基层就业荣誉证书发放范围，共258人选择到基层单位工作，其中本科毕业生92人，毕业研究生166人，奔赴全国29个省、直辖市、自治区工作，部分同学选择到基层法检系统工作。2名毕业生应征入伍，11名毕业生自主创业。</w:t>
      </w:r>
    </w:p>
    <w:p>
      <w:pPr>
        <w:pStyle w:val="9"/>
        <w:ind w:firstLine="480"/>
        <w:rPr>
          <w:rFonts w:ascii="宋体" w:hAnsi="宋体" w:cs="Times New Roman"/>
        </w:rPr>
      </w:pPr>
      <w:r>
        <w:rPr>
          <w:rFonts w:hint="eastAsia" w:ascii="宋体" w:hAnsi="宋体" w:cs="Times New Roman"/>
        </w:rPr>
        <w:t>到党政机关就业人数较多。其中有部分毕业生到中共中央办公厅、国务院办公厅、中共中央纪律检查委员会、全国人大常委会办公厅、商务部、外交部、公安部、司法部、最高人民检察院、最高人民法院等国家机关工作。</w:t>
      </w:r>
    </w:p>
    <w:p>
      <w:pPr>
        <w:pStyle w:val="9"/>
        <w:spacing w:before="156" w:after="156"/>
        <w:ind w:left="120" w:firstLine="480"/>
        <w:rPr>
          <w:color w:val="FF0000"/>
        </w:rPr>
      </w:pPr>
      <w:r>
        <w:rPr>
          <w:rFonts w:hint="eastAsia" w:ascii="宋体" w:hAnsi="宋体" w:cs="Times New Roman"/>
        </w:rPr>
        <w:t>到一流律所就业工作人数较多。根据著名法律评级机构钱伯斯发布的《2018亚太法律指南》中国地区中资律所的排名情况，有156名（去年143人）同学到金杜律师事务所、中伦律师事务所、大成律师事务所等各领域内的第一等律所工作。</w:t>
      </w:r>
    </w:p>
    <w:p>
      <w:pPr>
        <w:pStyle w:val="9"/>
        <w:ind w:firstLine="480" w:firstLineChars="0"/>
        <w:rPr>
          <w:rFonts w:ascii="宋体" w:hAnsi="宋体" w:cs="Times New Roman"/>
        </w:rPr>
      </w:pPr>
      <w:r>
        <w:rPr>
          <w:rFonts w:hint="eastAsia" w:ascii="宋体" w:hAnsi="宋体" w:cs="Times New Roman"/>
        </w:rPr>
        <w:t>部分毕业生到企业和公共机构就业。</w:t>
      </w:r>
      <w:r>
        <w:rPr>
          <w:rFonts w:ascii="宋体" w:hAnsi="宋体" w:cs="Times New Roman"/>
        </w:rPr>
        <w:t>从就业单位行业看</w:t>
      </w:r>
      <w:r>
        <w:rPr>
          <w:rFonts w:hint="eastAsia" w:ascii="宋体" w:hAnsi="宋体" w:cs="Times New Roman"/>
        </w:rPr>
        <w:t>，本科生和研究生落实单位排名第一的行业均为公共管理、社会保障和社会组织，合计642人。其中，到国有企业工作的有</w:t>
      </w:r>
      <w:r>
        <w:rPr>
          <w:rFonts w:ascii="宋体" w:hAnsi="宋体" w:cs="Times New Roman"/>
        </w:rPr>
        <w:t>55</w:t>
      </w:r>
      <w:r>
        <w:rPr>
          <w:rFonts w:hint="eastAsia" w:ascii="宋体" w:hAnsi="宋体" w:cs="Times New Roman"/>
        </w:rPr>
        <w:t>人，占</w:t>
      </w:r>
      <w:r>
        <w:rPr>
          <w:rFonts w:ascii="宋体" w:hAnsi="宋体" w:cs="Times New Roman"/>
        </w:rPr>
        <w:t>9.77</w:t>
      </w:r>
      <w:r>
        <w:rPr>
          <w:rFonts w:hint="eastAsia" w:ascii="宋体" w:hAnsi="宋体" w:cs="Times New Roman"/>
        </w:rPr>
        <w:t>%；到事业单位（含高等教育单位、科研设计单位、中初教育单位、医疗卫生单位、城镇社区及其他事业单位）工作的有</w:t>
      </w:r>
      <w:r>
        <w:rPr>
          <w:rFonts w:ascii="宋体" w:hAnsi="宋体" w:cs="Times New Roman"/>
        </w:rPr>
        <w:t>19</w:t>
      </w:r>
      <w:r>
        <w:rPr>
          <w:rFonts w:hint="eastAsia" w:ascii="宋体" w:hAnsi="宋体" w:cs="Times New Roman"/>
        </w:rPr>
        <w:t>人，占</w:t>
      </w:r>
      <w:r>
        <w:rPr>
          <w:rFonts w:ascii="宋体" w:hAnsi="宋体" w:cs="Times New Roman"/>
        </w:rPr>
        <w:t>3.75</w:t>
      </w:r>
      <w:r>
        <w:rPr>
          <w:rFonts w:hint="eastAsia" w:ascii="宋体" w:hAnsi="宋体" w:cs="Times New Roman"/>
        </w:rPr>
        <w:t>%；到三资企业工作的有</w:t>
      </w:r>
      <w:r>
        <w:rPr>
          <w:rFonts w:ascii="宋体" w:hAnsi="宋体" w:cs="Times New Roman"/>
        </w:rPr>
        <w:t>11</w:t>
      </w:r>
      <w:r>
        <w:rPr>
          <w:rFonts w:hint="eastAsia" w:ascii="宋体" w:hAnsi="宋体" w:cs="Times New Roman"/>
        </w:rPr>
        <w:t>人，占</w:t>
      </w:r>
      <w:r>
        <w:rPr>
          <w:rFonts w:ascii="宋体" w:hAnsi="宋体" w:cs="Times New Roman"/>
        </w:rPr>
        <w:t>1.96</w:t>
      </w:r>
      <w:r>
        <w:rPr>
          <w:rFonts w:hint="eastAsia" w:ascii="宋体" w:hAnsi="宋体" w:cs="Times New Roman"/>
        </w:rPr>
        <w:t>%；到其他单位工作的有</w:t>
      </w:r>
      <w:r>
        <w:rPr>
          <w:rFonts w:ascii="宋体" w:hAnsi="宋体" w:cs="Times New Roman"/>
        </w:rPr>
        <w:t>63</w:t>
      </w:r>
      <w:r>
        <w:rPr>
          <w:rFonts w:hint="eastAsia" w:ascii="宋体" w:hAnsi="宋体" w:cs="Times New Roman"/>
        </w:rPr>
        <w:t>人，占</w:t>
      </w:r>
      <w:r>
        <w:rPr>
          <w:rFonts w:ascii="宋体" w:hAnsi="宋体" w:cs="Times New Roman"/>
        </w:rPr>
        <w:t>11.19</w:t>
      </w:r>
      <w:r>
        <w:rPr>
          <w:rFonts w:hint="eastAsia" w:ascii="宋体" w:hAnsi="宋体" w:cs="Times New Roman"/>
        </w:rPr>
        <w:t>%。</w:t>
      </w:r>
    </w:p>
    <w:p>
      <w:pPr>
        <w:pStyle w:val="7"/>
        <w:spacing w:before="156" w:after="156"/>
        <w:ind w:left="120"/>
      </w:pPr>
      <w:bookmarkStart w:id="25" w:name="_Toc31875"/>
      <w:r>
        <w:rPr>
          <w:rFonts w:hint="eastAsia"/>
        </w:rPr>
        <w:t>（五）人才培养模式实验班就业率和就业质量高</w:t>
      </w:r>
      <w:bookmarkEnd w:id="25"/>
    </w:p>
    <w:p>
      <w:pPr>
        <w:pStyle w:val="10"/>
        <w:ind w:firstLine="480"/>
        <w:rPr>
          <w:rFonts w:ascii="宋体" w:hAnsi="宋体" w:cs="Times New Roman"/>
        </w:rPr>
      </w:pPr>
      <w:r>
        <w:rPr>
          <w:rFonts w:hint="eastAsia"/>
          <w:color w:val="000000" w:themeColor="text1"/>
          <w14:textFill>
            <w14:solidFill>
              <w14:schemeClr w14:val="tx1"/>
            </w14:solidFill>
          </w14:textFill>
        </w:rPr>
        <w:t>我校不断改进人才培养模式，先后实施“六年制法学人才培养模式改革实验班”建设，与中国科学院大学合作开办“成思危现代金融菁英班”，根据卓越法律人才教育培养计划设立了涉外法律人才培养模式实验班。这些项目的设立和实施，对我校培养能够适应政治、经济、社会等全球化发展的综合型人才，进一步探索人才培养体制改革、人才培养模式创新创造了很好的平台，从而推动学校人才培养水平和创新能力的提高。</w:t>
      </w:r>
      <w:r>
        <w:rPr>
          <w:rFonts w:hint="eastAsia" w:ascii="宋体" w:hAnsi="宋体" w:cs="Times New Roman"/>
        </w:rPr>
        <w:t>201</w:t>
      </w:r>
      <w:r>
        <w:rPr>
          <w:rFonts w:ascii="宋体" w:hAnsi="宋体" w:cs="Times New Roman"/>
        </w:rPr>
        <w:t>8</w:t>
      </w:r>
      <w:r>
        <w:rPr>
          <w:rFonts w:hint="eastAsia" w:ascii="宋体" w:hAnsi="宋体" w:cs="Times New Roman"/>
        </w:rPr>
        <w:t>届</w:t>
      </w:r>
      <w:r>
        <w:rPr>
          <w:rFonts w:ascii="宋体" w:hAnsi="宋体" w:cs="Times New Roman"/>
        </w:rPr>
        <w:t>法学人才培养模式改革实验班</w:t>
      </w:r>
      <w:r>
        <w:rPr>
          <w:rFonts w:hint="eastAsia" w:ascii="宋体" w:hAnsi="宋体" w:cs="Times New Roman"/>
        </w:rPr>
        <w:t>就业落实率</w:t>
      </w:r>
      <w:r>
        <w:rPr>
          <w:rFonts w:ascii="宋体" w:hAnsi="宋体" w:cs="Times New Roman"/>
        </w:rPr>
        <w:t>98.24</w:t>
      </w:r>
      <w:r>
        <w:rPr>
          <w:rFonts w:hint="eastAsia" w:ascii="宋体" w:hAnsi="宋体" w:cs="Times New Roman"/>
        </w:rPr>
        <w:t>%；201</w:t>
      </w:r>
      <w:r>
        <w:rPr>
          <w:rFonts w:ascii="宋体" w:hAnsi="宋体" w:cs="Times New Roman"/>
        </w:rPr>
        <w:t>8</w:t>
      </w:r>
      <w:r>
        <w:rPr>
          <w:rFonts w:hint="eastAsia" w:ascii="宋体" w:hAnsi="宋体" w:cs="Times New Roman"/>
        </w:rPr>
        <w:t>届涉外法律人才培养模式实验班就业落实率</w:t>
      </w:r>
      <w:r>
        <w:rPr>
          <w:rFonts w:ascii="宋体" w:hAnsi="宋体" w:cs="Times New Roman"/>
        </w:rPr>
        <w:t>100.00</w:t>
      </w:r>
      <w:r>
        <w:rPr>
          <w:rFonts w:hint="eastAsia" w:ascii="宋体" w:hAnsi="宋体" w:cs="Times New Roman"/>
        </w:rPr>
        <w:t>%；201</w:t>
      </w:r>
      <w:r>
        <w:rPr>
          <w:rFonts w:ascii="宋体" w:hAnsi="宋体" w:cs="Times New Roman"/>
        </w:rPr>
        <w:t>8</w:t>
      </w:r>
      <w:r>
        <w:rPr>
          <w:rFonts w:hint="eastAsia" w:ascii="宋体" w:hAnsi="宋体" w:cs="Times New Roman"/>
        </w:rPr>
        <w:t>届成思危现代金融菁英</w:t>
      </w:r>
      <w:r>
        <w:rPr>
          <w:rFonts w:ascii="宋体" w:hAnsi="宋体" w:cs="Times New Roman"/>
        </w:rPr>
        <w:t>班</w:t>
      </w:r>
      <w:r>
        <w:rPr>
          <w:rFonts w:hint="eastAsia" w:ascii="宋体" w:hAnsi="宋体" w:cs="Times New Roman"/>
        </w:rPr>
        <w:t>就业落实率</w:t>
      </w:r>
      <w:r>
        <w:rPr>
          <w:rFonts w:ascii="宋体" w:hAnsi="宋体" w:cs="Times New Roman"/>
        </w:rPr>
        <w:t>97.83</w:t>
      </w:r>
      <w:r>
        <w:rPr>
          <w:rFonts w:hint="eastAsia" w:ascii="宋体" w:hAnsi="宋体" w:cs="Times New Roman"/>
        </w:rPr>
        <w:t>%。</w:t>
      </w:r>
    </w:p>
    <w:p>
      <w:pPr>
        <w:pStyle w:val="7"/>
        <w:spacing w:before="156" w:after="156"/>
        <w:ind w:left="120"/>
      </w:pPr>
      <w:bookmarkStart w:id="26" w:name="_Toc22516"/>
      <w:r>
        <w:rPr>
          <w:rFonts w:hint="eastAsia"/>
        </w:rPr>
        <w:t>（六）在就业结构、就业地域分布上仍需合理，就业质量仍有提升空间</w:t>
      </w:r>
      <w:bookmarkEnd w:id="26"/>
    </w:p>
    <w:p>
      <w:pPr>
        <w:topLinePunct/>
        <w:spacing w:line="360" w:lineRule="auto"/>
        <w:ind w:firstLine="480" w:firstLineChars="200"/>
        <w:rPr>
          <w:rFonts w:ascii="Times New Roman" w:hAnsi="Times New Roman" w:eastAsia="宋体" w:cs="Times New Roman"/>
          <w:szCs w:val="24"/>
        </w:rPr>
      </w:pPr>
      <w:r>
        <w:rPr>
          <w:rFonts w:hint="eastAsia" w:ascii="Times New Roman" w:hAnsi="Times New Roman" w:eastAsia="宋体" w:cs="Times New Roman"/>
          <w:szCs w:val="24"/>
        </w:rPr>
        <w:t>从就业结果看，</w:t>
      </w:r>
      <w:r>
        <w:rPr>
          <w:rFonts w:ascii="Times New Roman" w:hAnsi="Times New Roman" w:eastAsia="宋体" w:cs="Times New Roman"/>
          <w:szCs w:val="24"/>
        </w:rPr>
        <w:t>2018届毕业生</w:t>
      </w:r>
      <w:r>
        <w:rPr>
          <w:rFonts w:hint="eastAsia" w:ascii="Times New Roman" w:hAnsi="Times New Roman" w:eastAsia="宋体" w:cs="Times New Roman"/>
          <w:szCs w:val="24"/>
        </w:rPr>
        <w:t>中就业地域仍显集中。尽管</w:t>
      </w:r>
      <w:r>
        <w:rPr>
          <w:rFonts w:ascii="Times New Roman" w:hAnsi="Times New Roman" w:eastAsia="宋体" w:cs="Times New Roman"/>
          <w:szCs w:val="24"/>
        </w:rPr>
        <w:t>近三年毕业生</w:t>
      </w:r>
      <w:r>
        <w:rPr>
          <w:rFonts w:hint="eastAsia" w:ascii="Times New Roman" w:hAnsi="Times New Roman" w:eastAsia="宋体" w:cs="Times New Roman"/>
          <w:szCs w:val="24"/>
        </w:rPr>
        <w:t>在京就业</w:t>
      </w:r>
      <w:r>
        <w:rPr>
          <w:rFonts w:ascii="Times New Roman" w:hAnsi="Times New Roman" w:eastAsia="宋体" w:cs="Times New Roman"/>
          <w:szCs w:val="24"/>
        </w:rPr>
        <w:t>比例</w:t>
      </w:r>
      <w:r>
        <w:rPr>
          <w:rFonts w:hint="eastAsia" w:ascii="Times New Roman" w:hAnsi="Times New Roman" w:eastAsia="宋体" w:cs="Times New Roman"/>
          <w:szCs w:val="24"/>
        </w:rPr>
        <w:t>略有下降，2018年仍有</w:t>
      </w:r>
      <w:r>
        <w:rPr>
          <w:rFonts w:ascii="Times New Roman" w:hAnsi="Times New Roman" w:eastAsia="宋体" w:cs="Times New Roman"/>
          <w:szCs w:val="24"/>
        </w:rPr>
        <w:t>54.18%的毕业生在北京</w:t>
      </w:r>
      <w:r>
        <w:rPr>
          <w:rFonts w:hint="eastAsia" w:ascii="Times New Roman" w:hAnsi="Times New Roman" w:eastAsia="宋体" w:cs="Times New Roman"/>
          <w:szCs w:val="24"/>
        </w:rPr>
        <w:t>地区就业。其中，硕士生在北京就业的比例最高，为60.23%</w:t>
      </w:r>
      <w:r>
        <w:rPr>
          <w:rFonts w:ascii="Times New Roman" w:hAnsi="Times New Roman" w:eastAsia="宋体" w:cs="Times New Roman"/>
          <w:szCs w:val="24"/>
        </w:rPr>
        <w:t>。</w:t>
      </w:r>
      <w:r>
        <w:rPr>
          <w:rFonts w:hint="eastAsia" w:ascii="Times New Roman" w:hAnsi="Times New Roman" w:eastAsia="宋体" w:cs="Times New Roman"/>
          <w:szCs w:val="24"/>
        </w:rPr>
        <w:t>此外，</w:t>
      </w:r>
      <w:r>
        <w:rPr>
          <w:rFonts w:ascii="Times New Roman" w:hAnsi="Times New Roman" w:eastAsia="宋体" w:cs="Times New Roman"/>
          <w:szCs w:val="24"/>
        </w:rPr>
        <w:t>京外就业的毕业生最主要选择在</w:t>
      </w:r>
      <w:r>
        <w:rPr>
          <w:rFonts w:hint="eastAsia" w:ascii="Times New Roman" w:hAnsi="Times New Roman" w:eastAsia="宋体" w:cs="Times New Roman"/>
          <w:szCs w:val="24"/>
        </w:rPr>
        <w:t>东部地区为26.33%，去西部地区就业比例较高是本科生，为20.64%</w:t>
      </w:r>
      <w:r>
        <w:rPr>
          <w:rFonts w:ascii="Times New Roman" w:hAnsi="Times New Roman" w:eastAsia="宋体" w:cs="Times New Roman"/>
          <w:szCs w:val="24"/>
        </w:rPr>
        <w:t>。</w:t>
      </w:r>
      <w:r>
        <w:rPr>
          <w:rFonts w:ascii="宋体" w:hAnsi="宋体" w:eastAsia="宋体" w:cs="Times New Roman"/>
        </w:rPr>
        <w:t>从就业单位性质看</w:t>
      </w:r>
      <w:r>
        <w:rPr>
          <w:rFonts w:hint="eastAsia" w:ascii="宋体" w:hAnsi="宋体" w:eastAsia="宋体" w:cs="Times New Roman"/>
        </w:rPr>
        <w:t>，毕业生仍主要集中在</w:t>
      </w:r>
      <w:r>
        <w:rPr>
          <w:rFonts w:hint="eastAsia" w:ascii="Times New Roman" w:hAnsi="Times New Roman" w:eastAsia="宋体" w:cs="Times New Roman"/>
          <w:szCs w:val="24"/>
        </w:rPr>
        <w:t>党政机关、事业单位和国企。仍存在部分地区和用人单位对我校高层次毕业生的人才需求还无法得到足够满足的现象，毕业生在就业结构、就业地域分布上仍需合理，就业质量仍有提升空间。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5"/>
        </w:rPr>
        <w:footnoteRef/>
      </w:r>
      <w:r>
        <w:t xml:space="preserve">  </w:t>
      </w:r>
      <w:r>
        <w:rPr>
          <w:rFonts w:hint="eastAsia"/>
        </w:rPr>
        <w:t>就业落实率=（升学人数+出国人数+签订就业协议人数+签劳动合同人数+其他就业形式）/毕业生人数</w:t>
      </w:r>
    </w:p>
  </w:footnote>
  <w:footnote w:id="1">
    <w:p>
      <w:pPr>
        <w:pStyle w:val="2"/>
      </w:pPr>
      <w:r>
        <w:rPr>
          <w:rStyle w:val="5"/>
        </w:rPr>
        <w:footnoteRef/>
      </w:r>
      <w:r>
        <w:t xml:space="preserve">  </w:t>
      </w:r>
      <w:r>
        <w:rPr>
          <w:rFonts w:hint="eastAsia"/>
        </w:rPr>
        <w:t>深造率=（升学人数+出国人数）/毕业生人数</w:t>
      </w:r>
    </w:p>
  </w:footnote>
  <w:footnote w:id="2">
    <w:p>
      <w:pPr>
        <w:pStyle w:val="2"/>
      </w:pPr>
      <w:r>
        <w:rPr>
          <w:rStyle w:val="5"/>
        </w:rPr>
        <w:footnoteRef/>
      </w:r>
      <w:r>
        <w:t xml:space="preserve">  </w:t>
      </w:r>
      <w:r>
        <w:rPr>
          <w:rFonts w:hint="eastAsia"/>
        </w:rPr>
        <w:t>就业签约率=（升学人数+出国人数+签订就业协议人数+签劳动合同人数）/毕业生人数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6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character" w:styleId="5">
    <w:name w:val="footnote reference"/>
    <w:basedOn w:val="4"/>
    <w:unhideWhenUsed/>
    <w:qFormat/>
    <w:uiPriority w:val="99"/>
    <w:rPr>
      <w:vertAlign w:val="superscript"/>
    </w:rPr>
  </w:style>
  <w:style w:type="paragraph" w:customStyle="1" w:styleId="6">
    <w:name w:val="FL标题2"/>
    <w:basedOn w:val="1"/>
    <w:qFormat/>
    <w:uiPriority w:val="0"/>
    <w:pPr>
      <w:topLinePunct/>
      <w:spacing w:beforeLines="100" w:afterLines="50"/>
      <w:outlineLvl w:val="1"/>
    </w:pPr>
    <w:rPr>
      <w:b/>
      <w:color w:val="2E75B6" w:themeColor="accent1" w:themeShade="BF"/>
      <w:sz w:val="32"/>
      <w:szCs w:val="32"/>
    </w:rPr>
  </w:style>
  <w:style w:type="paragraph" w:customStyle="1" w:styleId="7">
    <w:name w:val="FL标题3"/>
    <w:basedOn w:val="1"/>
    <w:qFormat/>
    <w:uiPriority w:val="0"/>
    <w:pPr>
      <w:topLinePunct/>
      <w:spacing w:beforeLines="50" w:afterLines="50"/>
      <w:ind w:left="50" w:leftChars="50"/>
      <w:outlineLvl w:val="2"/>
    </w:pPr>
    <w:rPr>
      <w:rFonts w:eastAsia="宋体"/>
      <w:b/>
      <w:color w:val="2E75B6" w:themeColor="accent1" w:themeShade="BF"/>
      <w:sz w:val="28"/>
      <w:szCs w:val="28"/>
    </w:rPr>
  </w:style>
  <w:style w:type="paragraph" w:customStyle="1" w:styleId="8">
    <w:name w:val="FL标题1"/>
    <w:basedOn w:val="1"/>
    <w:qFormat/>
    <w:uiPriority w:val="0"/>
    <w:pPr>
      <w:spacing w:beforeLines="200" w:afterLines="300"/>
      <w:jc w:val="center"/>
      <w:outlineLvl w:val="0"/>
    </w:pPr>
    <w:rPr>
      <w:rFonts w:ascii="黑体" w:hAnsi="黑体" w:eastAsiaTheme="majorEastAsia"/>
      <w:b/>
      <w:color w:val="2E75B6" w:themeColor="accent1" w:themeShade="BF"/>
      <w:sz w:val="44"/>
      <w:szCs w:val="44"/>
    </w:rPr>
  </w:style>
  <w:style w:type="paragraph" w:customStyle="1" w:styleId="9">
    <w:name w:val="FL正文"/>
    <w:basedOn w:val="1"/>
    <w:qFormat/>
    <w:uiPriority w:val="0"/>
    <w:pPr>
      <w:topLinePunct/>
      <w:spacing w:line="360" w:lineRule="auto"/>
      <w:ind w:firstLine="200" w:firstLineChars="200"/>
    </w:pPr>
    <w:rPr>
      <w:rFonts w:ascii="Times New Roman" w:hAnsi="Times New Roman" w:eastAsia="宋体"/>
      <w:szCs w:val="24"/>
    </w:rPr>
  </w:style>
  <w:style w:type="paragraph" w:customStyle="1" w:styleId="10">
    <w:name w:val="A6正文格式-中科易研"/>
    <w:basedOn w:val="1"/>
    <w:qFormat/>
    <w:uiPriority w:val="0"/>
    <w:pPr>
      <w:topLinePunct/>
      <w:spacing w:line="360" w:lineRule="auto"/>
      <w:ind w:firstLine="200" w:firstLineChars="200"/>
    </w:pPr>
    <w:rPr>
      <w:rFonts w:ascii="Times New Roman" w:hAnsi="Times New Roman" w:eastAsia="宋体"/>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chart" Target="charts/chart1.xml"/>
  <Relationship Id="rId8" Type="http://schemas.openxmlformats.org/officeDocument/2006/relationships/chart" Target="charts/chart2.xml"/>
  <Relationship Id="rId9" Type="http://schemas.openxmlformats.org/officeDocument/2006/relationships/chart" Target="charts/chart3.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D:/SYX/2018&#23626;&#27605;&#19994;&#29983;&#23601;&#19994;&#36136;&#37327;&#25253;&#21578;/&#22522;&#30784;&#25968;&#25454;/20181031&#22522;&#30784;&#25968;&#25454;&#65288;&#30740;+&#26412;&#65289;.xls"/>
  <Relationship Id="rId2" Type="http://schemas.openxmlformats.org/officeDocument/2006/relationships/themeOverride" Target="../theme/themeOverride1.xml"/>
</Relationships>

</file>

<file path=word/charts/_rels/chart2.xml.rels><?xml version="1.0" encoding="UTF-8"?>

<Relationships xmlns="http://schemas.openxmlformats.org/package/2006/relationships">
  <Relationship Id="rId1" Type="http://schemas.openxmlformats.org/officeDocument/2006/relationships/oleObject" TargetMode="External" Target="file:///D:/SYX/2018&#23626;&#27605;&#19994;&#29983;&#23601;&#19994;&#36136;&#37327;&#25253;&#21578;/&#22522;&#30784;&#25968;&#25454;/20181031&#22522;&#30784;&#25968;&#25454;&#65288;&#30740;+&#26412;&#65289;.xls"/>
  <Relationship Id="rId2" Type="http://schemas.openxmlformats.org/officeDocument/2006/relationships/themeOverride" Target="../theme/themeOverride2.xml"/>
</Relationships>

</file>

<file path=word/charts/_rels/chart3.xml.rels><?xml version="1.0" encoding="UTF-8"?>

<Relationships xmlns="http://schemas.openxmlformats.org/package/2006/relationships">
  <Relationship Id="rId1" Type="http://schemas.openxmlformats.org/officeDocument/2006/relationships/oleObject" TargetMode="External" Target="file:///D:/SYX/2018&#23626;&#27605;&#19994;&#29983;&#23601;&#19994;&#36136;&#37327;&#25253;&#21578;/&#22522;&#30784;&#25968;&#25454;/20181031&#22522;&#30784;&#25968;&#25454;&#65288;&#30740;+&#26412;&#65289;.xls"/>
  <Relationship Id="rId2" Type="http://schemas.openxmlformats.org/officeDocument/2006/relationships/themeOverride" Target="../theme/themeOverride3.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生源地!$B$9:$B$10</c:f>
              <c:strCache>
                <c:ptCount val="1"/>
                <c:pt idx="0">
                  <c:v>京内生源比例</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生源地!$A$11:$A$13</c:f>
              <c:strCache>
                <c:ptCount val="3"/>
                <c:pt idx="0">
                  <c:v>博士研究生</c:v>
                </c:pt>
                <c:pt idx="1">
                  <c:v>硕士研究生</c:v>
                </c:pt>
                <c:pt idx="2">
                  <c:v>本科毕业生</c:v>
                </c:pt>
              </c:strCache>
            </c:strRef>
          </c:cat>
          <c:val>
            <c:numRef>
              <c:f>生源地!$B$11:$B$13</c:f>
              <c:numCache>
                <c:formatCode>0.00%</c:formatCode>
                <c:ptCount val="3"/>
                <c:pt idx="0">
                  <c:v>0.103448275862069</c:v>
                </c:pt>
                <c:pt idx="1">
                  <c:v>0.0700985761226725</c:v>
                </c:pt>
                <c:pt idx="2">
                  <c:v>0.0401529636711281</c:v>
                </c:pt>
              </c:numCache>
            </c:numRef>
          </c:val>
        </c:ser>
        <c:ser>
          <c:idx val="1"/>
          <c:order val="1"/>
          <c:tx>
            <c:strRef>
              <c:f>生源地!$C$9:$C$10</c:f>
              <c:strCache>
                <c:ptCount val="1"/>
                <c:pt idx="0">
                  <c:v>京外生源比例</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生源地!$A$11:$A$13</c:f>
              <c:strCache>
                <c:ptCount val="3"/>
                <c:pt idx="0">
                  <c:v>博士研究生</c:v>
                </c:pt>
                <c:pt idx="1">
                  <c:v>硕士研究生</c:v>
                </c:pt>
                <c:pt idx="2">
                  <c:v>本科毕业生</c:v>
                </c:pt>
              </c:strCache>
            </c:strRef>
          </c:cat>
          <c:val>
            <c:numRef>
              <c:f>生源地!$C$11:$C$13</c:f>
              <c:numCache>
                <c:formatCode>0.00%</c:formatCode>
                <c:ptCount val="3"/>
                <c:pt idx="0">
                  <c:v>0.89655172413793</c:v>
                </c:pt>
                <c:pt idx="1">
                  <c:v>0.929901423877327</c:v>
                </c:pt>
                <c:pt idx="2">
                  <c:v>0.959847036328873</c:v>
                </c:pt>
              </c:numCache>
            </c:numRef>
          </c:val>
        </c:ser>
        <c:dLbls>
          <c:showLegendKey val="0"/>
          <c:showVal val="1"/>
          <c:showCatName val="0"/>
          <c:showSerName val="0"/>
          <c:showPercent val="0"/>
          <c:showBubbleSize val="0"/>
        </c:dLbls>
        <c:gapWidth val="150"/>
        <c:overlap val="100"/>
        <c:axId val="225915648"/>
        <c:axId val="225917184"/>
      </c:barChart>
      <c:catAx>
        <c:axId val="22591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917184"/>
        <c:crosses val="autoZero"/>
        <c:auto val="1"/>
        <c:lblAlgn val="ctr"/>
        <c:lblOffset val="100"/>
        <c:noMultiLvlLbl val="0"/>
      </c:catAx>
      <c:valAx>
        <c:axId val="2259171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915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 民族'!$B$8</c:f>
              <c:strCache>
                <c:ptCount val="1"/>
                <c:pt idx="0">
                  <c:v>汉族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errBars>
            <c:errBarType val="both"/>
            <c:errValType val="stdErr"/>
            <c:noEndCap val="0"/>
            <c:spPr>
              <a:noFill/>
              <a:ln w="9525" cap="flat" cmpd="sng" algn="ctr">
                <a:solidFill>
                  <a:schemeClr val="tx1">
                    <a:lumMod val="65000"/>
                    <a:lumOff val="35000"/>
                  </a:schemeClr>
                </a:solidFill>
                <a:prstDash val="solid"/>
                <a:round/>
              </a:ln>
              <a:effectLst/>
            </c:spPr>
          </c:errBars>
          <c:cat>
            <c:strRef>
              <c:f>' 民族'!$A$9:$A$11</c:f>
              <c:strCache>
                <c:ptCount val="3"/>
                <c:pt idx="0">
                  <c:v>博士研究生</c:v>
                </c:pt>
                <c:pt idx="1">
                  <c:v>硕士研究生</c:v>
                </c:pt>
                <c:pt idx="2">
                  <c:v>本科毕业生</c:v>
                </c:pt>
              </c:strCache>
            </c:strRef>
          </c:cat>
          <c:val>
            <c:numRef>
              <c:f>' 民族'!$B$9:$B$11</c:f>
              <c:numCache>
                <c:formatCode>0.00%</c:formatCode>
                <c:ptCount val="3"/>
                <c:pt idx="0">
                  <c:v>0.903448275862069</c:v>
                </c:pt>
                <c:pt idx="1">
                  <c:v>0.898138006571742</c:v>
                </c:pt>
                <c:pt idx="2">
                  <c:v>0.837476099426386</c:v>
                </c:pt>
              </c:numCache>
            </c:numRef>
          </c:val>
        </c:ser>
        <c:ser>
          <c:idx val="1"/>
          <c:order val="1"/>
          <c:tx>
            <c:strRef>
              <c:f>' 民族'!$C$8</c:f>
              <c:strCache>
                <c:ptCount val="1"/>
                <c:pt idx="0">
                  <c:v>少数民族</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errBars>
            <c:errBarType val="both"/>
            <c:errValType val="stdErr"/>
            <c:noEndCap val="0"/>
            <c:spPr>
              <a:noFill/>
              <a:ln w="9525" cap="flat" cmpd="sng" algn="ctr">
                <a:solidFill>
                  <a:schemeClr val="tx1">
                    <a:lumMod val="65000"/>
                    <a:lumOff val="35000"/>
                  </a:schemeClr>
                </a:solidFill>
                <a:prstDash val="solid"/>
                <a:round/>
              </a:ln>
              <a:effectLst/>
            </c:spPr>
          </c:errBars>
          <c:cat>
            <c:strRef>
              <c:f>' 民族'!$A$9:$A$11</c:f>
              <c:strCache>
                <c:ptCount val="3"/>
                <c:pt idx="0">
                  <c:v>博士研究生</c:v>
                </c:pt>
                <c:pt idx="1">
                  <c:v>硕士研究生</c:v>
                </c:pt>
                <c:pt idx="2">
                  <c:v>本科毕业生</c:v>
                </c:pt>
              </c:strCache>
            </c:strRef>
          </c:cat>
          <c:val>
            <c:numRef>
              <c:f>' 民族'!$C$9:$C$11</c:f>
              <c:numCache>
                <c:formatCode>0.00%</c:formatCode>
                <c:ptCount val="3"/>
                <c:pt idx="0">
                  <c:v>0.096551724137931</c:v>
                </c:pt>
                <c:pt idx="1">
                  <c:v>0.101861993428259</c:v>
                </c:pt>
                <c:pt idx="2">
                  <c:v>0.162523900573614</c:v>
                </c:pt>
              </c:numCache>
            </c:numRef>
          </c:val>
        </c:ser>
        <c:dLbls>
          <c:showLegendKey val="0"/>
          <c:showVal val="1"/>
          <c:showCatName val="0"/>
          <c:showSerName val="0"/>
          <c:showPercent val="0"/>
          <c:showBubbleSize val="0"/>
        </c:dLbls>
        <c:gapWidth val="150"/>
        <c:overlap val="100"/>
        <c:axId val="225952512"/>
        <c:axId val="225954048"/>
      </c:barChart>
      <c:catAx>
        <c:axId val="22595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954048"/>
        <c:crosses val="autoZero"/>
        <c:auto val="1"/>
        <c:lblAlgn val="ctr"/>
        <c:lblOffset val="100"/>
        <c:noMultiLvlLbl val="0"/>
      </c:catAx>
      <c:valAx>
        <c:axId val="2259540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952512"/>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Sheet8!$A$16</c:f>
              <c:strCache>
                <c:ptCount val="1"/>
                <c:pt idx="0">
                  <c:v>博士研究生</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Sheet8!$B$15:$D$15</c:f>
              <c:strCache>
                <c:ptCount val="3"/>
                <c:pt idx="0">
                  <c:v>就业落实率</c:v>
                </c:pt>
                <c:pt idx="1">
                  <c:v>就业签约率</c:v>
                </c:pt>
                <c:pt idx="2">
                  <c:v>深造率</c:v>
                </c:pt>
              </c:strCache>
            </c:strRef>
          </c:cat>
          <c:val>
            <c:numRef>
              <c:f>Sheet8!$B$16:$D$16</c:f>
              <c:numCache>
                <c:formatCode>0.00%</c:formatCode>
                <c:ptCount val="3"/>
                <c:pt idx="0">
                  <c:v>0.972413793103448</c:v>
                </c:pt>
                <c:pt idx="1">
                  <c:v>0.889655172413794</c:v>
                </c:pt>
                <c:pt idx="2">
                  <c:v>0.096551724137931</c:v>
                </c:pt>
              </c:numCache>
            </c:numRef>
          </c:val>
        </c:ser>
        <c:ser>
          <c:idx val="1"/>
          <c:order val="1"/>
          <c:tx>
            <c:strRef>
              <c:f>Sheet8!$A$17</c:f>
              <c:strCache>
                <c:ptCount val="1"/>
                <c:pt idx="0">
                  <c:v>硕士研究生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Sheet8!$B$15:$D$15</c:f>
              <c:strCache>
                <c:ptCount val="3"/>
                <c:pt idx="0">
                  <c:v>就业落实率</c:v>
                </c:pt>
                <c:pt idx="1">
                  <c:v>就业签约率</c:v>
                </c:pt>
                <c:pt idx="2">
                  <c:v>深造率</c:v>
                </c:pt>
              </c:strCache>
            </c:strRef>
          </c:cat>
          <c:val>
            <c:numRef>
              <c:f>Sheet8!$B$17:$D$17</c:f>
              <c:numCache>
                <c:formatCode>0.00%</c:formatCode>
                <c:ptCount val="3"/>
                <c:pt idx="0">
                  <c:v>0.975355969331873</c:v>
                </c:pt>
                <c:pt idx="1">
                  <c:v>0.735487404162103</c:v>
                </c:pt>
                <c:pt idx="2">
                  <c:v>0.0624315443592552</c:v>
                </c:pt>
              </c:numCache>
            </c:numRef>
          </c:val>
        </c:ser>
        <c:ser>
          <c:idx val="2"/>
          <c:order val="2"/>
          <c:tx>
            <c:strRef>
              <c:f>Sheet8!$A$18</c:f>
              <c:strCache>
                <c:ptCount val="1"/>
                <c:pt idx="0">
                  <c:v>本科毕业生</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Sheet8!$B$15:$D$15</c:f>
              <c:strCache>
                <c:ptCount val="3"/>
                <c:pt idx="0">
                  <c:v>就业落实率</c:v>
                </c:pt>
                <c:pt idx="1">
                  <c:v>就业签约率</c:v>
                </c:pt>
                <c:pt idx="2">
                  <c:v>深造率</c:v>
                </c:pt>
              </c:strCache>
            </c:strRef>
          </c:cat>
          <c:val>
            <c:numRef>
              <c:f>Sheet8!$B$18:$D$18</c:f>
              <c:numCache>
                <c:formatCode>0.00%</c:formatCode>
                <c:ptCount val="3"/>
                <c:pt idx="0">
                  <c:v>0.988049713193117</c:v>
                </c:pt>
                <c:pt idx="1">
                  <c:v>0.740439770554494</c:v>
                </c:pt>
                <c:pt idx="2">
                  <c:v>0.627629063097515</c:v>
                </c:pt>
              </c:numCache>
            </c:numRef>
          </c:val>
        </c:ser>
        <c:dLbls>
          <c:showLegendKey val="0"/>
          <c:showVal val="1"/>
          <c:showCatName val="0"/>
          <c:showSerName val="0"/>
          <c:showPercent val="0"/>
          <c:showBubbleSize val="0"/>
        </c:dLbls>
        <c:gapWidth val="182"/>
        <c:axId val="226059776"/>
        <c:axId val="226061312"/>
      </c:barChart>
      <c:catAx>
        <c:axId val="226059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061312"/>
        <c:crosses val="autoZero"/>
        <c:auto val="1"/>
        <c:lblAlgn val="ctr"/>
        <c:lblOffset val="100"/>
        <c:noMultiLvlLbl val="0"/>
      </c:catAx>
      <c:valAx>
        <c:axId val="2260613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059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Komaeda</dc:creator>
  <lastModifiedBy>Komaeda</lastModifiedBy>
  <dcterms:modified xsi:type="dcterms:W3CDTF">2020-09-17T06:54:56Z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